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ARegV — Effizienzbonus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Bundesnetzagentur ermittelt für im Effizienzvergleich nach § 12 als effizient ausgewiesene Netzbetreiber für die Dauer einer Regulierungsperiode einen Aufschlag auf die Erlösobergrenze (Effizienzbonus) auf Grundlage der Supereffizienzanalyse nach Anlage 3 Nummer 5 Satz 9. Die Bundesnetzagentur berücksichtigt dabei sowohl den Aufwandsparameter nach § 13 Absatz 2 als auch den Aufwandsparameter nach § 12 Absatz 4a. Der Supereffizienzwert eines Netzbetreibers entspricht der Differenz aus den individuellen Effizienzwerten aus der Supereffizienzanalyse abzüglich der individuellen Effizienzwerte aus der nicht-parametrischen Methode nach Anlage 3.</w:t>
      </w:r>
    </w:p>
    <w:p>
      <w:r>
        <w:t xml:space="preserve">(2) Hat die Supereffizienzanalyse für einen Netzbetreiber einen Supereffizienzwert von über 5 Prozent ergeben, so ist der Supereffizienzwert mit 5 Prozent anzusetzen.</w:t>
      </w:r>
    </w:p>
    <w:p>
      <w:r>
        <w:t xml:space="preserve">(3) Weichen die nach den Absätzen 1 und 2 ermittelten Supereffizienzwerte voneinander ab, so ist für den jeweils betrachteten Netzbetreiber das arithmetische Mittel dieser beiden Supereffizienzwerte zu verwenden.</w:t>
      </w:r>
    </w:p>
    <w:p>
      <w:r>
        <w:t xml:space="preserve">(4) Der individuelle Effizienzbonus eines Netzbetreibers wird durch Multiplikation des individuellen Supereffizienzwertes nach Absatz 3 mit den vorübergehend nicht beeinflussbaren Kostenanteilen nach § 11 Absatz 3 Satz 1 berechnet.</w:t>
      </w:r>
    </w:p>
    <w:p>
      <w:r>
        <w:t xml:space="preserve">(5) Der Effizienzbonus ist gleichmäßig über die Regulierungsperiode zu verteilen.</w:t>
      </w:r>
    </w:p>
    <w:p>
      <w:r>
        <w:t xml:space="preserve">(6) Die Absätze 1 bis 5 sind nicht auf Betreiber von Übertragungs- und Fernleitungsnetzen anzuwenden.</w:t>
      </w:r>
    </w:p>
    <w:p>
      <w:r>
        <w:rPr>
          <w:color w:val="555555"/>
          <w:sz w:val="17"/>
        </w:rPr>
        <w:t xml:space="preserve">Zitiervorschlag: § 12a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