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ARegV — Beeinflussbare und nicht beeinflussbare Kostenanteile</w:t>
      </w:r>
    </w:p>
    <w:p>
      <w:r>
        <w:rPr>
          <w:color w:val="555555"/>
          <w:sz w:val="18"/>
        </w:rPr>
        <w:t xml:space="preserve">Anreizregulierungsverordnung</w:t>
      </w:r>
    </w:p>
    <w:p>
      <w:r>
        <w:rPr>
          <w:color w:val="555555"/>
          <w:sz w:val="18"/>
        </w:rPr>
        <w:t xml:space="preserve">Stand: 04.01.2024 (konsolidierte Textfassung, kein amtliches Inkrafttretensdatum)</w:t>
      </w:r>
    </w:p>
    <w:p>
      <w:r>
        <w:t xml:space="preserve">(1) Als nicht beeinflussbare Kostenanteile gelten dauerhaft nicht beeinflussbare Kostenanteile und vorübergehend nicht beeinflussbare Kostenanteile.</w:t>
      </w:r>
    </w:p>
    <w:p>
      <w:r>
        <w:t xml:space="preserve">(2) Als dauerhaft nicht beeinflussbare Kostenanteile gelten Kosten oder Erlöse aus</w:t>
      </w:r>
    </w:p>
    <w:p>
      <w:pPr>
        <w:ind w:left="420"/>
      </w:pPr>
      <w:r>
        <w:t xml:space="preserve">1. gesetzlichen Abnahme- und Vergütungspflichten,</w:t>
      </w:r>
    </w:p>
    <w:p>
      <w:pPr>
        <w:ind w:left="420"/>
      </w:pPr>
      <w:r>
        <w:t xml:space="preserve">2. Konzessionsabgaben,</w:t>
      </w:r>
    </w:p>
    <w:p>
      <w:pPr>
        <w:ind w:left="420"/>
      </w:pPr>
      <w:r>
        <w:t xml:space="preserve">3. Betriebssteuern,</w:t>
      </w:r>
    </w:p>
    <w:p>
      <w:pPr>
        <w:ind w:left="420"/>
      </w:pPr>
      <w:r>
        <w:t xml:space="preserve">4. erforderlicher Inanspruchnahme vorgelagerter Netzebenen,</w:t>
      </w:r>
    </w:p>
    <w:p>
      <w:pPr>
        <w:ind w:left="420"/>
      </w:pPr>
      <w:r>
        <w:t xml:space="preserve">5. der Nachrüstung von Wechselrichtern nach § 10 Absatz 1 der Systemstabilitätsverordnung und der Nachrüstung von Anlagen zur Erzeugung von Strom aus erneuerbaren Energien und aus Kraft-Wärme-Kopplung gemäß § 22 der Systemstabilitätsverordnung,</w:t>
      </w:r>
    </w:p>
    <w:p>
      <w:pPr>
        <w:ind w:left="420"/>
      </w:pPr>
      <w:r>
        <w:t xml:space="preserve">6. genehmigten Investitionsmaßnahmen nach § 23, soweit sie nicht zu den Kosten nach § 17 Absatz 1, den §§ 17a und 17b, des § 12b Absatz 1 Satz 3 Nummer 7 oder des Flächenentwicklungsplans nach § 5 des Windenergie-auf-See-Gesetzes gehören und soweit sie dem Inhalt der Genehmigung nach durchgeführt wurden sowie in der Regulierungsperiode kostenwirksam sind und die Genehmigung nicht aufgehoben worden ist,</w:t>
      </w:r>
    </w:p>
    <w:p>
      <w:pPr>
        <w:ind w:left="420"/>
      </w:pPr>
      <w:r>
        <w:t xml:space="preserve">6a. der Auflösung des Abzugsbetrags nach § 23 Absatz 2a,</w:t>
      </w:r>
    </w:p>
    <w:p>
      <w:pPr>
        <w:ind w:left="420"/>
      </w:pPr>
      <w:r>
        <w:t xml:space="preserve">7. Mehrkosten für die Errichtung, den Betrieb und die Änderung von Erdkabeln nach § 43 Absatz 1 Satz 1 Nummer 2 und Absatz 2 Satz 1 Nummer 2 des Energiewirtschaftsgesetzes, soweit diese nicht nach Nummer 6 berücksichtigt werden und soweit die Kosten bei effizientem Netzbetrieb entstehen,</w:t>
      </w:r>
    </w:p>
    <w:p>
      <w:pPr>
        <w:ind w:left="420"/>
      </w:pPr>
      <w:r>
        <w:t xml:space="preserve">8. vermiedenen Netzentgelten im Sinne von § 18 der Stromnetzentgeltverordnung, § 13 Absatz 2 des Energiefinanzierungsgesetzes und § 6 Absatz 4 und § 13 Absatz 5 des Kraft-Wärme-Kopplungsgesetzes,</w:t>
      </w:r>
    </w:p>
    <w:p>
      <w:pPr>
        <w:ind w:left="420"/>
      </w:pPr>
      <w:r>
        <w:t xml:space="preserve">8a. (weggefallen)</w:t>
      </w:r>
    </w:p>
    <w:p>
      <w:pPr>
        <w:ind w:left="420"/>
      </w:pPr>
      <w:r>
        <w:t xml:space="preserve">8b. Zahlungen an Städte oder Gemeinden nach Maßgabe von § 5 Absatz 4 der Stromnetzentgeltverordnung,</w:t>
      </w:r>
    </w:p>
    <w:p>
      <w:pPr>
        <w:ind w:left="420"/>
      </w:pPr>
      <w:r>
        <w:t xml:space="preserve">9. betrieblichen und tarifvertraglichen Vereinbarungen zu Lohnzusatz- und Versorgungsleistungen, soweit diese in der Zeit vor dem 31. Dezember 2016 abgeschlossen worden sind,</w:t>
      </w:r>
    </w:p>
    <w:p>
      <w:pPr>
        <w:ind w:left="420"/>
      </w:pPr>
      <w:r>
        <w:t xml:space="preserve">10. der im gesetzlichen Rahmen ausgeübten Betriebs- und Personalratstätigkeit,</w:t>
      </w:r>
    </w:p>
    <w:p>
      <w:pPr>
        <w:ind w:left="420"/>
      </w:pPr>
      <w:r>
        <w:t xml:space="preserve">11. der Berufsausbildung und Weiterbildung im Unternehmen und von Betriebskindertagesstätten für Kinder der im Netzbereich beschäftigten Betriebsangehörigen,</w:t>
      </w:r>
    </w:p>
    <w:p>
      <w:pPr>
        <w:ind w:left="420"/>
      </w:pPr>
      <w:r>
        <w:t xml:space="preserve">12. Entscheidungen über die grenzüberschreitende Kostenaufteilung nach Artikel 12 der Verordnung (EU) Nr. 347/2013 des Europäischen Parlaments und des Rates vom 17. April 2013 zu Leitlinien für die transeuropäische Energieinfrastruktur und zur Aufhebung der Entscheidung Nr. 1364/2006/EG und zur Änderung der Verordnungen (EG) Nr. 713/2009, (EG) Nr. 714/2009 und (EG) Nr. 715/2009 (ABl. L 115 vom 25.4.2013, S. 39), die zuletzt durch die Delegierte Verordnung (EU) 2020/389 (ABl. L 74 vom 11.3.2020, S. 1) geändert worden ist,</w:t>
      </w:r>
    </w:p>
    <w:p>
      <w:pPr>
        <w:ind w:left="420"/>
      </w:pPr>
      <w:r>
        <w:t xml:space="preserve">12a. Forschung und Entwicklung nach Maßgabe des § 25a,</w:t>
      </w:r>
    </w:p>
    <w:p>
      <w:pPr>
        <w:ind w:left="420"/>
      </w:pPr>
      <w:r>
        <w:t xml:space="preserve">13. der Auflösung von Netzanschlusskostenbeiträgen und Baukostenzuschüssen nach § 9 Abs. 1 Satz 1 Nr. 3 und 4 in Verbindung mit Satz 2 der Stromnetzentgeltverordnung und § 9 Abs. 1 Satz 1 Nr. 3 und 4 in Verbindung mit Satz 2 der Gasnetzentgeltverordnung,</w:t>
      </w:r>
    </w:p>
    <w:p>
      <w:pPr>
        <w:ind w:left="420"/>
      </w:pPr>
      <w:r>
        <w:t xml:space="preserve">14. (weggefallen)</w:t>
      </w:r>
    </w:p>
    <w:p>
      <w:pPr>
        <w:ind w:left="420"/>
      </w:pPr>
      <w:r>
        <w:t xml:space="preserve">15. (weggefallen)</w:t>
      </w:r>
    </w:p>
    <w:p>
      <w:pPr>
        <w:ind w:left="420"/>
      </w:pPr>
      <w:r>
        <w:t xml:space="preserve">16. den Vorschriften der Kapazitätsreserve nach § 13e Absatz 3 des Energiewirtschaftsgesetzes und der Rechtsverordnung nach § 13h des Energiewirtschaftsgesetzes, den Bestimmungen zur Stilllegung von Braunkohlekraftwerken nach § 13g des Energiewirtschaftsgesetzes,</w:t>
      </w:r>
    </w:p>
    <w:p>
      <w:pPr>
        <w:ind w:left="420"/>
      </w:pPr>
      <w:r>
        <w:t xml:space="preserve">17. (weggefallen)</w:t>
      </w:r>
    </w:p>
    <w:p>
      <w:pPr>
        <w:ind w:left="420"/>
      </w:pPr>
      <w:r>
        <w:t xml:space="preserve">18. Kosten aus der Erfüllung des Zahlungsanspruchs nach § 28g des Energiewirtschaftsgesetzes, wobei Erlöse aus der Erfüllung von Zahlungsansprüchen nach § 28h des Energiewirtschaftsgesetzes mit den Kosten aus der Erfüllung von Zahlungsansprüchen nach § 28g des Energiewirtschaftsgesetzes zu verrechnen sind, soweit diese Kosten im Sinne von Artikel 19 Absatz 2 Buchstabe a der Verordnung (EU) 2019/943 des Europäischen Parlaments und des Rates vom 5. Juni 2019 über den Elektrizitätsbinnenmarkt (ABl. L 158 vom 14.6.2019, S. 54) enthalten.</w:t>
      </w:r>
    </w:p>
    <w:p>
      <w:r>
        <w:t xml:space="preserve">Als dauerhaft nicht beeinflussbare Kostenanteile gelten bei Stromversorgungsnetzen auch solche Kosten oder Erlöse, die sich aus Maßnahmen des Netzbetreibers ergeben, die einer wirksamen Verfahrensregulierung nach der Stromnetzzugangsverordnung oder der Verordnung (EU) 2019/943 des Europäischen Parlaments und des Rates vom 5. Juni 2019 über den Elektrizitätsbinnenmarkt (ABl. L 158 vom 14.6.2019, S. 54), unterliegen, insbesondere</w:t>
      </w:r>
    </w:p>
    <w:p>
      <w:pPr>
        <w:ind w:left="420"/>
      </w:pPr>
      <w:r>
        <w:t xml:space="preserve">1. Kompensationszahlungen im Rahmen des Ausgleichsmechanismus nach Artikel 49 der Verordnung (EU) 2019/943,</w:t>
      </w:r>
    </w:p>
    <w:p>
      <w:pPr>
        <w:ind w:left="420"/>
      </w:pPr>
      <w:r>
        <w:t xml:space="preserve">2. Erlöse aus dem Engpassmanagement nach Artikel 19 der Verordnung (EU) 2019/943 oder nach § 15 der Stromnetzzugangsverordnung, soweit diese entgeltmindernd nach Artikel 19 Absatz 2 und 3 der Verordnung (EU) 2019/943 oder nach § 15 Absatz 3 Satz 1 der Stromnetzzugangsverordnung geltend gemacht werden, und</w:t>
      </w:r>
    </w:p>
    <w:p>
      <w:pPr>
        <w:ind w:left="420"/>
      </w:pPr>
      <w:r>
        <w:t xml:space="preserve">3. Kosten für die Beschaffung der Energie zur Erbringung von Ausgleichsleistungen, einschließlich der Kosten für die lastseitige Beschaffung.</w:t>
      </w:r>
    </w:p>
    <w:p>
      <w:r>
        <w:t xml:space="preserve">Bei Gasversorgungsnetzen gelten als dauerhaft nicht beeinflussbare Kosten auch solche Kosten oder Erlöse, die sich aus Maßnahmen des Netzbetreibers ergeben, die einer wirksamen Verfahrensregulierung nach der Gasnetzzugangsverordnung oder der Verordnung (EG) Nr. 715/2009 des Europäischen Parlaments und des Rates vom 13. Juli 2009 über die Bedingungen für den Zugang zu den Erdgasfernleitungsnetzen und zur Aufhebung der Verordnung (EG) Nr. 1775/2005, die zuletzt durch die Verordnung (EU) 2018/1999 (ABl. L 328 vom 21.12.2018, S. 1) geändert worden ist, unterliegen. Eine wirksame Verfahrensregulierung im Sinne der Sätze 2 und 3 liegt vor, soweit eine umfassende Regulierung des betreffenden Bereichs durch vollziehbare Entscheidungen der Regulierungsbehörden oder freiwillige Selbstverpflichtungen der Netzbetreiber erfolgt ist, die Regulierungsbehörde dies nach § 32 Abs. 1 Nr. 4 festgelegt hat und es sich nicht um volatile Kostenanteile nach § 11 Absatz 5 handelt.</w:t>
      </w:r>
    </w:p>
    <w:p>
      <w:r>
        <w:t xml:space="preserve">(3) Als vorübergehend nicht beeinflussbare Kostenanteile des jeweiligen Jahres der Regulierungsperiode gelten die mit dem nach § 15 ermittelten bereinigten Effizienzwert multiplizierten Gesamtkosten nach Abzug der dauerhaft nicht beeinflussbaren Kostenanteile des Ausgangsniveaus und nach Abzug des Kapitalkostenabzugs des jeweiligen Jahres der Regulierungsperiode. In den nach Satz 1 ermittelten vorübergehend nicht beeinflussbaren Kostenanteilen sind die auf nicht zurechenbare strukturelle Unterschiede der Versorgungsgebiete beruhenden Kostenanteile enthalten.</w:t>
      </w:r>
    </w:p>
    <w:p>
      <w:r>
        <w:t xml:space="preserve">(4) Als beeinflussbare Kostenanteile des jeweiligen Jahres der Regulierungsperiode gelten die Gesamtkosten nach Abzug der dauerhaft nicht beeinflussbaren Kostenanteile des Ausgangsniveaus, nach Abzug des Kapitalkostenabzugs des jeweiligen Jahres der Regulierungsperiode und nach Abzug der vorübergehend nicht beeinflussbaren Kostenanteile nach Absatz 3.</w:t>
      </w:r>
    </w:p>
    <w:p>
      <w:r>
        <w:t xml:space="preserve">(5) Als volatile Kostenanteile sind folgende Kosten anzusehen:</w:t>
      </w:r>
    </w:p>
    <w:p>
      <w:pPr>
        <w:ind w:left="420"/>
      </w:pPr>
      <w:r>
        <w:t xml:space="preserve">1. Kosten für die Beschaffung von Treibenergie und</w:t>
      </w:r>
    </w:p>
    <w:p>
      <w:pPr>
        <w:ind w:left="420"/>
      </w:pPr>
      <w:r>
        <w:t xml:space="preserve">2. Kosten für Maßnahmen der Betreiber von Elektrizitätsverteilernetzen nach § 13 Absatz 1 Satz 1 Nummer 2 des Energiewirtschaftsgesetzes in Verbindung mit § 14 Absatz 1 Satz 1 des Energiewirtschaftsgesetzes.</w:t>
      </w:r>
    </w:p>
    <w:p>
      <w:r>
        <w:t xml:space="preserve">Andere beeinflussbare oder vorübergehend nicht beeinflussbare Kostenanteile, insbesondere Kosten für die Beschaffung von Verlustenergie, deren Höhe sich in einem Kalenderjahr erheblich von der Höhe des jeweiligen Kostenanteils im vorhergehenden Kalenderjahr unterscheiden kann, gelten als volatile Kostenanteile, soweit die Regulierungsbehörde dies nach § 32 Absatz 1 Nummer 4a festgelegt hat. Kapitalkosten oder Fremdkapitalkosten gelten nicht als volatile Kostenanteile.</w:t>
      </w:r>
    </w:p>
    <w:p>
      <w:r>
        <w:rPr>
          <w:color w:val="555555"/>
          <w:sz w:val="17"/>
        </w:rPr>
        <w:t xml:space="preserve">Zitiervorschlag: § 11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