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ARegV — Erweiterungsfaktor</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(1) Ändert sich während der Regulierungsperiode die Versorgungsaufgabe des Netzbetreibers nachhaltig, wird dies bei der Bestimmung der Erlösobergrenze durch einen Erweiterungsfaktor berücksichtigt. Die Ermittlung des Erweiterungsfaktors erfolgt nach der Formel in Anlage 2.</w:t>
      </w:r>
    </w:p>
    <w:p>
      <w:r>
        <w:t xml:space="preserve">(2) Die Versorgungsaufgabe bestimmt sich nach der Fläche des versorgten Gebietes und den von den Netzkunden bestimmten Anforderungen an die Versorgung mit Strom und Gas, die sich auf die Netzgestaltung unmittelbar auswirken. Eine nachhaltige Änderung der Versorgungsaufgabe im Sinne des Absatz 1 Satz 1 liegt vor, wenn sich einer oder mehrere der Parameter</w:t>
      </w:r>
    </w:p>
    <w:p>
      <w:pPr>
        <w:ind w:left="420"/>
      </w:pPr>
      <w:r>
        <w:t xml:space="preserve">1. Fläche des versorgten Gebietes,</w:t>
      </w:r>
    </w:p>
    <w:p>
      <w:pPr>
        <w:ind w:left="420"/>
      </w:pPr>
      <w:r>
        <w:t xml:space="preserve">2. Anzahl der Anschlusspunkte in Stromversorgungsnetzen und der Ausspeisepunkte in Gasversorgungsnetzen,</w:t>
      </w:r>
    </w:p>
    <w:p>
      <w:pPr>
        <w:ind w:left="420"/>
      </w:pPr>
      <w:r>
        <w:t xml:space="preserve">3. Jahreshöchstlast oder</w:t>
      </w:r>
    </w:p>
    <w:p>
      <w:pPr>
        <w:ind w:left="420"/>
      </w:pPr>
      <w:r>
        <w:t xml:space="preserve">4. sonstige von der Regulierungsbehörde nach § 32 Abs. 1 Nr. 3 festgelegte Parameter</w:t>
      </w:r>
    </w:p>
    <w:p>
      <w:r>
        <w:t xml:space="preserve">im Antragszeitpunkt dauerhaft und in erheblichem Umfang geändert haben. Von einer Änderung in erheblichem Umfang nach Satz 2 ist in der Regel auszugehen, wenn sich dadurch die Gesamtkosten des Netzbetreibers nach Abzug der dauerhaft nicht beeinflussbaren Kostenanteile um mindestens 0,5 Prozent erhöhen.</w:t>
      </w:r>
    </w:p>
    <w:p>
      <w:r>
        <w:t xml:space="preserve">(3) Die Parameter nach Absatz 2 Satz 2 Nr. 4 dienen insbesondere der Berücksichtigung des unterschiedlichen Erschließungs- und Anschlussgrades von Gasversorgungsnetzen. Sie müssen hinsichtlich ihrer Aussagekraft mit denjenigen nach Absatz 2 Satz 2 Nr. 1 bis 3 vergleichbar sein. Bei ihrer Auswahl ist § 13 Abs. 3 entsprechend anzuwenden.</w:t>
      </w:r>
    </w:p>
    <w:p>
      <w:r>
        <w:t xml:space="preserve">(4) Die Absätze 1 bis 3 finden bei Betreibern von Übertragungs- und Fernleitungsnetzen sowie bei Hochspannungsnetzen von Betreibern von Verteilernetzen keine Anwendung. Bei der Ermittlung der Gesamtkosten des Netzbetreibers nach Absatz 2 Satz 3 bleiben die Kosten des Hochspannungsnetzes unberücksichtigt.</w:t>
      </w:r>
    </w:p>
    <w:p>
      <w:r>
        <w:rPr>
          <w:color w:val="555555"/>
          <w:sz w:val="17"/>
        </w:rPr>
        <w:t xml:space="preserve">Zitiervorschlag: § 10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https://recht.nulegal.eu/gesetze/ARegV/10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