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ARegV — Anwendungsbereich</w:t>
      </w:r>
    </w:p>
    <w:p>
      <w:r>
        <w:rPr>
          <w:color w:val="555555"/>
          <w:sz w:val="18"/>
        </w:rPr>
        <w:t xml:space="preserve">Anreizregulierungsverordnung</w:t>
      </w:r>
    </w:p>
    <w:p>
      <w:r>
        <w:rPr>
          <w:color w:val="555555"/>
          <w:sz w:val="18"/>
        </w:rPr>
        <w:t xml:space="preserve">Stand: 04.08.2021 (konsolidierte Textfassung, kein amtliches Inkrafttretensdatum)</w:t>
      </w:r>
    </w:p>
    <w:p>
      <w:r>
        <w:t xml:space="preserve">(1) Diese Rechtsverordnung regelt die Bestimmung der Entgelte für den Zugang zu den Energieversorgungsnetzen im Wege der Anreizregulierung. Netzentgelte werden ab dem 1. Januar 2009 im Wege der Anreizregulierung bestimmt.</w:t>
      </w:r>
    </w:p>
    <w:p>
      <w:r>
        <w:t xml:space="preserve">(2) Diese Rechtsverordnung findet auf einen Netzbetreiber, für den noch keine kalenderjährliche Erlösobergrenze nach § 4 Absatz 1 bestimmt worden ist, für eine Übergangszeit bis zum Ende der laufenden Regulierungsperiode keine Anwendung. Die Rechtsverordnung bleibt bis zum Abschluss der darauf folgenden Regulierungsperiode unangewendet, wenn bei der nächsten Kostenprüfung nach § 6 Absatz 1 für diesen Netzbetreiber noch keine hinreichenden Daten für das Basisjahr vorliegen.</w:t>
      </w:r>
    </w:p>
    <w:p>
      <w:r>
        <w:t xml:space="preserve">(3) Auf selbstständige Betreiber von grenzüberschreitenden Elektrizitätsverbindungsleitungen im Sinne des § 3 Nummer 20a des Energiewirtschaftsgesetzes ist diese Rechtsverordnung nicht anzuwenden.</w:t>
      </w:r>
    </w:p>
    <w:p>
      <w:r>
        <w:rPr>
          <w:color w:val="555555"/>
          <w:sz w:val="17"/>
        </w:rPr>
        <w:t xml:space="preserve">Zitiervorschlag: § 1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