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ARV 1991</w:t>
      </w:r>
    </w:p>
    <w:p>
      <w:r>
        <w:rPr>
          <w:color w:val="555555"/>
          <w:sz w:val="18"/>
        </w:rPr>
        <w:t xml:space="preserve">Auslandsreisekostenverordnung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20 Abs. 3 des Bundesreisekostengesetzes in der Fassung der Bekanntmachung vom 13. November 1973 (BGBl. I S. 1621), der durch Artikel 2 Nr. 2 des Gesetzes vom 11. Dezember 1990 (BGBl. I S. 2682) geändert worden ist, verordnet der Bundesminister des Innern:</w:t>
      </w:r>
    </w:p>
    <w:p>
      <w:r>
        <w:rPr>
          <w:color w:val="555555"/>
          <w:sz w:val="17"/>
        </w:rPr>
        <w:t xml:space="preserve">Zitiervorschlag: Eingangsformel ARV 1991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https://recht.nulegal.eu/gesetze/ARV%201991/eingangsformel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