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ARV 1991 — Erkrankung während der Auslandsdienstreise</w:t>
      </w:r>
    </w:p>
    <w:p>
      <w:r>
        <w:rPr>
          <w:color w:val="555555"/>
          <w:sz w:val="18"/>
        </w:rPr>
        <w:t xml:space="preserve">Auslandsreisekostenverordnung</w:t>
      </w:r>
    </w:p>
    <w:p>
      <w:r>
        <w:rPr>
          <w:color w:val="555555"/>
          <w:sz w:val="18"/>
        </w:rPr>
        <w:t xml:space="preserve">Stand: 10.06.2019 (konsolidierte Textfassung, kein amtliches Inkrafttretensdatum)</w:t>
      </w:r>
    </w:p>
    <w:p>
      <w:r>
        <w:t xml:space="preserve">Erkrankt ein Auslandsdienstreisender und kann er deswegen nicht an seinen Wohnort zurückkehren, wird Reisekostenvergütung weitergezahlt. Wird er in ein nicht am Wohnort oder in dessen Nähe gelegenes Krankenhaus aufgenommen, erhält er für jeden vollen Kalendertag des Krankenhausaufenthaltes nur Ersatz der notwendigen Auslagen für die Unterkunft am Geschäftsort; bei Aufnahme in ein ausländisches Krankenhaus erhält er darüber hinaus 10 vom Hundert des Auslandstagegeldes nach § 3 Abs. 1 und 2, bei Aufnahme in ein inländisches Krankenhaus 10 vom Hundert des Tagegeldes nach § 6 Absatz 1 Satz 1 und 2 des Bundesreisekostengesetzes in Verbindung mit § 9 Absatz 4a Satz 2 und 3 Nummer 1 des Einkommensteuergesetzes.</w:t>
      </w:r>
    </w:p>
    <w:p>
      <w:r>
        <w:rPr>
          <w:color w:val="555555"/>
          <w:sz w:val="17"/>
        </w:rPr>
        <w:t xml:space="preserve">Zitiervorschlag: § 6 ARV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https://recht.nulegal.eu/gesetze/ARV%201991/6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ARV 1991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