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ARV 1991 — Auslandstagegeld, Auslandsübernachtungsgeld</w:t>
      </w:r>
    </w:p>
    <w:p>
      <w:r>
        <w:rPr>
          <w:color w:val="555555"/>
          <w:sz w:val="18"/>
        </w:rPr>
        <w:t xml:space="preserve">Auslandsreisekostenverordnung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Auslandstage- und Auslandsübernachtungsgelder werden für Auslandsdienstreisen mit einer Abwesenheit von 24 Stunden in Höhe der Beträge gezahlt, die auf Grund von Erhebungen durch allgemeine Verwaltungsvorschriften nach § 16 des Bundesreisekostengesetzes festgesetzt und im Gemeinsamen Ministerialblatt veröffentlicht werden. In den Fällen des § 9 Absatz 4a Satz 3 Nummer 2 und 3 des Einkommensteuergesetzes beträgt das Auslandstagegeld jeweils 80 Prozent des Auslandstagegeldes nach Satz 1; bei mehreren Auslandsdienstreisen an einem Kalendertag werden die Abwesenheitszeiten an diesem Tag addiert. In begründeten Ausnahmefällen kann von Satz 1 hinsichtlich des Auslandsübernachtungsgeldes abgewichen werden, wenn die nachgewiesenen notwendigen Übernachtungskosten das jeweilige Auslandsübernachtungsgeld übersteigen.</w:t>
      </w:r>
    </w:p>
    <w:p>
      <w:r>
        <w:t xml:space="preserve">(2) Für die in den allgemeinen Verwaltungsvorschriften nach Absatz 1 nach nicht aufgeführten Übersee- und Außengebiete eines Landes sind die Auslandstage- und Auslandsübernachtungsgelder des Mutterlandes maßgebend. Für die in den allgemeinen Verwaltungsvorschriften nach Absatz 1 und in Satz 1 nicht erfaßten Gebiete oder Länder ist das Auslandstage- und Auslandsübernachtungsgeld von Luxemburg maßgebend. Absatz 1 gilt entsprechend.</w:t>
      </w:r>
    </w:p>
    <w:p>
      <w:r>
        <w:t xml:space="preserve">(3) (weggefallen)</w:t>
      </w:r>
    </w:p>
    <w:p>
      <w:r>
        <w:rPr>
          <w:color w:val="555555"/>
          <w:sz w:val="17"/>
        </w:rPr>
        <w:t xml:space="preserve">Zitiervorschlag: § 3 ARV 1991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https://recht.nulegal.eu/gesetze/ARV%201991/3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