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ARG</w:t>
      </w:r>
    </w:p>
    <w:p>
      <w:r>
        <w:rPr>
          <w:color w:val="555555"/>
          <w:sz w:val="18"/>
        </w:rPr>
        <w:t xml:space="preserve">Altschuldenregelungsgesetz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 Erfüllung der auf das jeweilige Land entfallenden Erstattungsleistungen nach § 3 nicht in voller Höhe erbracht wird, erfolgt bis einschließlich 2004 eine unmittelbare Zahlung der Länder an den Bund bis zum 31. Januar des jeweiligen Jahres.</w:t>
      </w:r>
    </w:p>
    <w:p>
      <w:r>
        <w:t xml:space="preserve">(2) Die Leistungen der Länder an den Bund können durch Verwaltungsvereinbarungen abweichend von diesem Gesetz geregelt werden.</w:t>
      </w:r>
    </w:p>
    <w:p>
      <w:r>
        <w:rPr>
          <w:color w:val="555555"/>
          <w:sz w:val="17"/>
        </w:rPr>
        <w:t xml:space="preserve">Zitiervorschlag: § 4 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