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APVO NRW (Nordrhein-Westfalen)</w:t>
      </w:r>
    </w:p>
    <w:p>
      <w:r>
        <w:rPr>
          <w:color w:val="555555"/>
          <w:sz w:val="18"/>
        </w:rPr>
        <w:t xml:space="preserve">Automatenprotokollierungsverordnung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Verordnung</w:t>
      </w:r>
    </w:p>
    <w:p>
      <w:r>
        <w:t xml:space="preserve">zu den Daten der Automatenprotokollierung</w:t>
      </w:r>
    </w:p>
    <w:p>
      <w:r>
        <w:t xml:space="preserve">in den Spielbanken Nordrhein-Westfalen</w:t>
      </w:r>
    </w:p>
    <w:p>
      <w:r>
        <w:t xml:space="preserve">(Automatenprotokollierungsverordnung NRW – APVO NRW)</w:t>
      </w:r>
    </w:p>
    <w:p>
      <w:r>
        <w:t xml:space="preserve">Vom 18. November 2020</w:t>
      </w:r>
    </w:p>
    <w:p>
      <w:r>
        <w:t xml:space="preserve">(Artikel 3 der Verordnung vom 18. November 2020 (GV. NRW. S. 1056a))</w:t>
      </w:r>
    </w:p>
    <w:p>
      <w:r>
        <w:t xml:space="preserve">Auf Grund des § 14 Absatz 1 Nummer 1 des Spielbankgesetzes NRW vom 29. Mai 2020 (GV. NRW. S. 363) verordnet das Ministerium des Innern im Einvernehmen mit dem Ministerium der Finanzen und dem Ministerium für Arbeit, Gesundheit und Soziales:</w:t>
      </w:r>
    </w:p>
    <w:p>
      <w:r>
        <w:rPr>
          <w:color w:val="555555"/>
          <w:sz w:val="17"/>
        </w:rPr>
        <w:t xml:space="preserve">Zitiervorschlag: Volltext APVO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https://recht.nulegal.eu/gesetze/APVO%20NRW/volltext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