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APVO NRW (Nordrhein-Westfalen) — Inkrafttreten</w:t>
      </w:r>
    </w:p>
    <w:p>
      <w:r>
        <w:rPr>
          <w:color w:val="555555"/>
          <w:sz w:val="18"/>
        </w:rPr>
        <w:t xml:space="preserve">Automatenprotokollierungsverordnung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Minister des Innern</w:t>
      </w:r>
    </w:p>
    <w:p>
      <w:r>
        <w:t xml:space="preserve">Der Minister der Finanzen</w:t>
      </w:r>
    </w:p>
    <w:p>
      <w:r>
        <w:t xml:space="preserve">Der Minister für Arbeit, Gesundheit und Soziales</w:t>
      </w:r>
    </w:p>
    <w:p>
      <w:r>
        <w:t xml:space="preserve">Fn 1</w:t>
      </w:r>
    </w:p>
    <w:p>
      <w:r>
        <w:t xml:space="preserve">In Kraft getreten am 20. November 2020 (GV. NRW. S. 1056a).</w:t>
      </w:r>
    </w:p>
    <w:p>
      <w:r>
        <w:rPr>
          <w:color w:val="555555"/>
          <w:sz w:val="17"/>
        </w:rPr>
        <w:t xml:space="preserve">Zitiervorschlag: § 3 APVO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https://recht.nulegal.eu/gesetze/APVO%20NRW/3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