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APVO NRW (Nordrhein-Westfalen) — Daten der Automatenprotokollierung</w:t>
      </w:r>
    </w:p>
    <w:p>
      <w:r>
        <w:rPr>
          <w:color w:val="555555"/>
          <w:sz w:val="18"/>
        </w:rPr>
        <w:t xml:space="preserve">Automatenprotokollierungsverordnung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Alle in den Spielbanken der Konzessionsinhaberin oder des Konzessionsinhabers aufgestellten und betriebenen Spielautomaten müssen über geeignete technische Vorrichtungen zur Protokollierung der Daten nach Absatz 2 verfügen. Die technischen Vorrichtungen müssen im Spielbetrieb jederzeit funktionsfähig gehalten werden. Die Daten der Automatenprotokollierung dienen zur Gewährleistung eines ordnungsgemäßen Spielablaufs und dem Spielerschutz.</w:t>
      </w:r>
    </w:p>
    <w:p>
      <w:r>
        <w:t xml:space="preserve">(2) Festzuhalten sind hierzu für jeden Spieltag insbesondere:</w:t>
      </w:r>
    </w:p>
    <w:p>
      <w:r>
        <w:t xml:space="preserve">1. die Anzahl der in die Protokollierung eingebundenen Automaten,</w:t>
      </w:r>
    </w:p>
    <w:p>
      <w:r>
        <w:t xml:space="preserve">2. die Zeitdauer, in der die einzelnen Automaten zum Spiel zur Verfügung stehen,</w:t>
      </w:r>
    </w:p>
    <w:p>
      <w:r>
        <w:t xml:space="preserve">3. außerhalb der Öffnungszeiten, zum Beispiel wegen notwendiger Kontrollmaßnahmen, erforderliche Bespielungen,</w:t>
      </w:r>
    </w:p>
    <w:p>
      <w:r>
        <w:t xml:space="preserve">4. die Höhe aller am jeweiligen Automaten getätigten Spieleinsätze sowie aller erfolgten Gewinnauszahlungen,</w:t>
      </w:r>
    </w:p>
    <w:p>
      <w:r>
        <w:t xml:space="preserve">5. alle Öffnungen eines Automaten einschließlich des hierfür maßgeblichen Anlasses und der die Maßnahme ausführenden Person, zum Beispiel wegen geplanter Wartung oder ungeplanter Vorkommnisse,</w:t>
      </w:r>
    </w:p>
    <w:p>
      <w:r>
        <w:t xml:space="preserve">6. die für diesen Tag laut Ziehliste und Zusatz- oder Inventurliste zur Zählung vorgesehenen Automaten sowie</w:t>
      </w:r>
    </w:p>
    <w:p>
      <w:r>
        <w:t xml:space="preserve">7. Differenzen zwischen Soll- und Ist-Zählergebnissen.</w:t>
      </w:r>
    </w:p>
    <w:p>
      <w:r>
        <w:rPr>
          <w:color w:val="555555"/>
          <w:sz w:val="17"/>
        </w:rPr>
        <w:t xml:space="preserve">Zitiervorschlag: § 1 APVO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https://recht.nulegal.eu/gesetze/APVO%20NRW/1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