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APOmgDEich (Brandenburg) — Einstellungsvoraussetzungen</w:t>
      </w:r>
    </w:p>
    <w:p>
      <w:r>
        <w:rPr>
          <w:color w:val="555555"/>
          <w:sz w:val="18"/>
        </w:rPr>
        <w:t xml:space="preserve">Verordnung über die Ausbildung und Prüfung für die Laufbahnen des mittleren und des gehobenen eichtechnischen Dienstes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den Vorbereitungsdienst der Laufbahnen des eichtechnischen Dienstes kann eingestellt werden, wer</w:t>
      </w:r>
    </w:p>
    <w:p>
      <w:r>
        <w:t xml:space="preserve">die gesetzlichen Voraussetzungen für die Ernennung zum Beamten erfüllt und</w:t>
      </w:r>
    </w:p>
    <w:p>
      <w:r>
        <w:t xml:space="preserve">nach seinen charakterlichen, geistigen und körperlichen Anlagen für eine spätere Verwendung im eichtechnischen Dienst geeignet erscheint. Von schwerbehinderten Bewerbern darf nur das für die Laufbahn erforderliche Mindestmaß körperlicher Eignung verlangt werden. Sie müssen zumindest in der Lage sein, Außendienst zu leisten.</w:t>
      </w:r>
    </w:p>
    <w:p>
      <w:r>
        <w:t xml:space="preserve">(2) In den Vorbereitungsdienst der Laufbahn des mittleren eichtechnischen Dienstes darf nur eingestellt werden, wer mindestens</w:t>
      </w:r>
    </w:p>
    <w:p>
      <w:r>
        <w:t xml:space="preserve">die Fachoberschulreife, den Abschluß einer Realschule oder einen als gleichwertig anerkannten Bildungsstand oder die Berufsbildungsreife, den erfolgreichen Besuch einer Hauptschule oder einen als gleichwertig anerkannten Bildungsstand sowie eine förderliche abgeschlossene Berufsausbildung oder eine abgeschlossene Ausbildung in einem öffentlich-rechtlichen Ausbildungsverhältnis vorweist und</w:t>
      </w:r>
    </w:p>
    <w:p>
      <w:r>
        <w:t xml:space="preserve">die Meisterprüfung im</w:t>
      </w:r>
    </w:p>
    <w:p>
      <w:r>
        <w:t xml:space="preserve">Metall- oder Elektrogewerbe bestanden hat oder das Abschlusszeugnis einer</w:t>
      </w:r>
    </w:p>
    <w:p>
      <w:r>
        <w:t xml:space="preserve">staatlichen oder staatlich anerkannten Fachschule in den Fachrichtungen</w:t>
      </w:r>
    </w:p>
    <w:p>
      <w:r>
        <w:t xml:space="preserve">Maschinenbau, Elektrotechnik oder einer verwandten Fachrichtung, sofern auf der</w:t>
      </w:r>
    </w:p>
    <w:p>
      <w:r>
        <w:t xml:space="preserve">Grundlage der dort erlangten Kenntnisse und Fähigkeiten der Erwerb der</w:t>
      </w:r>
    </w:p>
    <w:p>
      <w:r>
        <w:t xml:space="preserve">Laufbahnbefähigung für die Laufbahn des mittleren eichtechnischen Dienstes zu</w:t>
      </w:r>
    </w:p>
    <w:p>
      <w:r>
        <w:t xml:space="preserve">erwarten ist, besitzt.</w:t>
      </w:r>
    </w:p>
    <w:p>
      <w:r>
        <w:t xml:space="preserve">(3) In den Vorbereitungsdienst der</w:t>
      </w:r>
    </w:p>
    <w:p>
      <w:r>
        <w:t xml:space="preserve">Laufbahn des gehobenen eichtechnischen Dienstes darf nur eingestellt werden, wer</w:t>
      </w:r>
    </w:p>
    <w:p>
      <w:r>
        <w:t xml:space="preserve">mindestens ein Fachhochschul- oder Hochschulstudium in der Fachrichtung</w:t>
      </w:r>
    </w:p>
    <w:p>
      <w:r>
        <w:t xml:space="preserve">Messtechnik, Maschinenbau, Elektrotechnik oder einer verwandten</w:t>
      </w:r>
    </w:p>
    <w:p>
      <w:r>
        <w:t xml:space="preserve">ingenieurtechnischen Fachrichtung, sofern auf der Grundlage der dort erlangten</w:t>
      </w:r>
    </w:p>
    <w:p>
      <w:r>
        <w:t xml:space="preserve">Kenntnisse und Fähigkeiten der Erwerb der Laufbahnbefähigung für die Laufbahn</w:t>
      </w:r>
    </w:p>
    <w:p>
      <w:r>
        <w:t xml:space="preserve">des gehobenen eichtechnischen Dienstes zu erwarten ist, mit einem Bachelorgrad</w:t>
      </w:r>
    </w:p>
    <w:p>
      <w:r>
        <w:t xml:space="preserve">abgeschlossen hat oder einen gleichwertigen Abschluss in den genannten</w:t>
      </w:r>
    </w:p>
    <w:p>
      <w:r>
        <w:t xml:space="preserve">Fachrichtungen erworben hat.</w:t>
      </w:r>
    </w:p>
    <w:p>
      <w:r>
        <w:rPr>
          <w:color w:val="555555"/>
          <w:sz w:val="17"/>
        </w:rPr>
        <w:t xml:space="preserve">Zitiervorschlag: § 2 APOmgDEich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https://recht.nulegal.eu/gesetze/APOmgDEich/2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