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APOmgDEich (Brandenburg) — Geltungsbereich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</w:t>
      </w:r>
    </w:p>
    <w:p>
      <w:r>
        <w:t xml:space="preserve">regelt die Ausbildung und Prüfung für die Laufbahnen des mittleren und des</w:t>
      </w:r>
    </w:p>
    <w:p>
      <w:r>
        <w:t xml:space="preserve">gehobenen eichtechnischen Dienstes des Landes Brandenburg.</w:t>
      </w:r>
    </w:p>
    <w:p>
      <w:r>
        <w:t xml:space="preserve">(2) Die in dieser Verordnung verwendeten Funktions-, Status- und anderen personenbezogenen Bezeichnungen gelten für Frauen und Männer.</w:t>
      </w:r>
    </w:p>
    <w:p>
      <w:r>
        <w:rPr>
          <w:color w:val="555555"/>
          <w:sz w:val="17"/>
        </w:rPr>
        <w:t xml:space="preserve">Zitiervorschlag: § 1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