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APOmJDBbg (Brandenburg) — Regelungen für Menschen mit Behinderungen</w:t>
      </w:r>
    </w:p>
    <w:p>
      <w:r>
        <w:rPr>
          <w:color w:val="555555"/>
          <w:sz w:val="18"/>
        </w:rPr>
        <w:t xml:space="preserve">Ausbildungs- und Prüfungsordnung mittlerer Justizdienst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Bei Menschen mit Behinderungen sind die gesetzlichen Bestimmungen und die Schwerbehindertenrichtlinie vom 16. März 2022 ( ABl. S. 326) in der jeweils geltenden Fassung zu beachten.</w:t>
      </w:r>
    </w:p>
    <w:p>
      <w:r>
        <w:rPr>
          <w:color w:val="555555"/>
          <w:sz w:val="17"/>
        </w:rPr>
        <w:t xml:space="preserve">Zitiervorschlag: § 30 APOmJDBbg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https://recht.nulegal.eu/gesetze/APOmJDBbg/30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