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APOmJDBbg (Brandenburg) — Schriftliche Prüfung</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Rahmen der schriftlichen Prüfung sind unter Aufsicht sechs Aufgaben mit den nachfolgend aufgeführten Schwerpunkten zu bearbeiten:</w:t>
      </w:r>
    </w:p>
    <w:p>
      <w:r>
        <w:t xml:space="preserve">Familien-, Betreuungs- und Nachlassrecht,</w:t>
      </w:r>
    </w:p>
    <w:p>
      <w:r>
        <w:t xml:space="preserve">Straf- und Strafprozessrecht,</w:t>
      </w:r>
    </w:p>
    <w:p>
      <w:r>
        <w:t xml:space="preserve">Kostenrecht,</w:t>
      </w:r>
    </w:p>
    <w:p>
      <w:r>
        <w:t xml:space="preserve">Zivil-, Zivilprozess-, Zwangsvollstreckungs- und Insolvenzrecht,</w:t>
      </w:r>
    </w:p>
    <w:p>
      <w:r>
        <w:t xml:space="preserve">Grundbuch-, Handels- und Registerrecht und</w:t>
      </w:r>
    </w:p>
    <w:p>
      <w:r>
        <w:t xml:space="preserve">Justizverwaltungsangelegenheiten und öffentliches Dienstrecht.</w:t>
      </w:r>
    </w:p>
    <w:p>
      <w:r>
        <w:t xml:space="preserve">(2) Die schriftlichen Prüfungsaufgaben einschließlich der Lösungsvorschläge samt Angabe der Bearbeitungszeit und benötigten Hilfsmittel erstellt die Lehrplankommission nach § 13. Die Auswahl der Entwürfe für die schriftlichen Prüfungsaufgaben trifft die oder der Vorsitzende des Prüfungsausschusses. Die Aufgaben können sich auch auf den Umgang mit den anzuwendenden informationstechnischen Programmen beziehen. In diesem Fall sind den Prüflingen die zur Aufgabenbearbeitung erforderlichen technischen Hilfsmittel zur Verfügung zu stellen.</w:t>
      </w:r>
    </w:p>
    <w:p>
      <w:r>
        <w:t xml:space="preserve">(3) An einem Tag sollen nicht mehr als zwei Aufgaben bearbeitet werden. Die Zeit zur Lösung der Aufgaben ist nach dem Umfang und der Schwierigkeit der Aufgaben festzusetzen. Die Dauer der Bearbeitung der Aufgaben an einem Tag soll fünf Stunden nicht übersteigen.</w:t>
      </w:r>
    </w:p>
    <w:p>
      <w:r>
        <w:t xml:space="preserve">(4) Die Prüflinge haben die Prüfungsarbeiten spätestens mit Ablauf der Bearbeitungszeit an die Aufsichtskraft abzugeben. Vor Beginn der schriftlichen Prüfung werden den Prüflingen von der Leiterin oder dem Leiter der Justizakademie des Landes Brandenburg Kennziffern zugeteilt. Die Arbeiten sind anstelle des Namens mit dieser Kennziffer zu versehen. Die zu den Kennziffern gehörenden Namen und sonstige Angaben zur Person des Prüflings dürfen den Prüferinnen und Prüfern vor der Begutachtung und Bewertung der Aufsichtsarbeiten nicht bekannt gegeben werden. Kenntnisse über die Person des Prüflings, die eine Prüferin oder ein Prüfer vorher durch die Tätigkeit bei der verwaltungsmäßigen Durchführung des Prüfungsverfahrens oder als Mitglied eines Prüfungsausschusses oder einer Prüfungskommission erlangt, stehen der Mitwirkung nicht entgegen.</w:t>
      </w:r>
    </w:p>
    <w:p>
      <w:r>
        <w:t xml:space="preserve">(5) Täuschungshandlungen oder sonstige Störungen des Prüfungsablaufes hat die Aufsichtskraft zu unterbinden. Der Arbeitsplatz des Prüflings kann jederzeit kontrolliert werden; dieser ist verpflichtet, an der Kontrolle mitzuwirken und nach Aufforderung die in seinem Besitz befindlichen Hilfsmittel vorzulegen. Verstößt ein Prüfling gegen die Ordnung und stört er dadurch andere Prüflinge, kann er durch die Aufsichtsperson von der Fortsetzung der Arbeit ausgeschlossen werden, wenn er sein störendes Verhalten trotz Ermahnung nicht einstellt.</w:t>
      </w:r>
    </w:p>
    <w:p>
      <w:r>
        <w:t xml:space="preserve">(6) Die Aufsichtskraft fertigt eine Niederschrift und vermerkt in ihr jede Unregelmäßigkeit. Sie verzeichnet auf der Niederschrift den Zeitpunkt des Beginns und des Endes der Bearbeitungszeit. Die Niederschrift kann auch in elektronischer Form erfolgen.</w:t>
      </w:r>
    </w:p>
    <w:p>
      <w:r>
        <w:t xml:space="preserve">(7) Nach Abschluss der schriftlichen Prüfung sind die Prüfungsaufgaben, die dazu erstellten Lösungsvorschläge, die Arbeiten der Prüflinge, das Verzeichnis der Kennziffern und die Prüfungsniederschriften von der Leiterin oder dem Leiter der Justizakademie des Landes Brandenburg in versiegelten Umschlägen der Präsidentin oder dem Präsidenten des Brandenburgischen Oberlandesgerichts zuzuleiten. Im Einvernehmen mit der Präsidentin oder dem Präsidenten des Brandenburgischen Oberlandesgerichts können die Prüfungsarbeiten und Lösungsvorschläge einem Mitglied des Prüfungsausschusses unmittelbar zugeleitet werden.</w:t>
      </w:r>
    </w:p>
    <w:p>
      <w:r>
        <w:rPr>
          <w:color w:val="555555"/>
          <w:sz w:val="17"/>
        </w:rPr>
        <w:t xml:space="preserve">Zitiervorschlag: § 19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