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APOmJDBbg (Brandenburg) — Lehrplankommission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Erstellung des Lehrplans nach § 12 Absatz 3 und der Unterrichtsmaterialien für den Begleitunterricht gemäß § 11 und die fachtheoretische Ausbildung gemäß § 12 sowie für das Entwerfen von Prüfungsklausuren gemäß § 19 wird eine Lehrplankommission gebildet. Die Leiterin oder der Leiter der Justizakademie des Landes Brandenburg bestellt die Mitglieder der Lehrplankommission und deren Leiterin oder Leiter.</w:t>
      </w:r>
    </w:p>
    <w:p>
      <w:r>
        <w:t xml:space="preserve">(2) Die erforderliche Freigabe der Lehrpläne und der Unterrichtsmaterialien durch die Leiterin oder den Leiter der Justizakademie des Landes Brandenburg bedarf der Zustimmung der Präsidentin oder des Präsidenten des Brandenburgischen Oberlandesgerichts.</w:t>
      </w:r>
    </w:p>
    <w:p>
      <w:r>
        <w:t xml:space="preserve">(3) Für das Unterrichtsmaterial im Bereich der Informationstechnik ist die Präsidentin oder der Präsident des Brandenburgischen Oberlandesgerichts verantwortlich.</w:t>
      </w:r>
    </w:p>
    <w:p>
      <w:r>
        <w:rPr>
          <w:color w:val="555555"/>
          <w:sz w:val="17"/>
        </w:rPr>
        <w:t xml:space="preserve">Zitiervorschlag: § 13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