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APOmDFeu (Brandenburg) — Schriftliche Prüfung</w:t>
      </w:r>
    </w:p>
    <w:p>
      <w:r>
        <w:rPr>
          <w:color w:val="555555"/>
          <w:sz w:val="18"/>
        </w:rPr>
        <w:t xml:space="preserve">Ausbildungs- und Prüfungsordnung mittlerer feuerwehrtechnischer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schriftliche Prüfung besteht aus zwei Aufsichtsarbeiten zu je drei Zeitstunden.</w:t>
      </w:r>
    </w:p>
    <w:p>
      <w:r>
        <w:t xml:space="preserve">(2) Die oder der Vorsitzende der Prüfungskommission bestimmt die Themen der Aufsichtsarbeiten aus den vermittelten Stoffgebieten für die schriftliche Prüfung.</w:t>
      </w:r>
    </w:p>
    <w:p>
      <w:r>
        <w:t xml:space="preserve">(3) Die Prüfungsbehörde bestimmt, ob die Aufsichtsarbeiten schriftlich oder elektronisch zu erstellen sind.</w:t>
      </w:r>
    </w:p>
    <w:p>
      <w:r>
        <w:rPr>
          <w:color w:val="555555"/>
          <w:sz w:val="17"/>
        </w:rPr>
        <w:t xml:space="preserve">Zitiervorschlag: § 28 APOmDFeu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https://recht.nulegal.eu/gesetze/APOmDFeu/28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