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APOmD (Brandenburg) — Mündlicher Prüfungsteil</w:t>
      </w:r>
    </w:p>
    <w:p>
      <w:r>
        <w:rPr>
          <w:color w:val="555555"/>
          <w:sz w:val="18"/>
        </w:rPr>
        <w:t xml:space="preserve">Ausbildungs- und Prüfungsordnung mittlerer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mündlichen Prüfungsteil haben die Anwärterinnen und Anwärter die in den Bausteinen</w:t>
      </w:r>
    </w:p>
    <w:p>
      <w:r>
        <w:t xml:space="preserve">Verwaltungsorganisation und Arbeitsabläufe sowie</w:t>
      </w:r>
    </w:p>
    <w:p>
      <w:r>
        <w:t xml:space="preserve">Recht und Rechtsanwendung</w:t>
      </w:r>
    </w:p>
    <w:p>
      <w:r>
        <w:t xml:space="preserve">erworbenen Kenntnisse nachzuweisen.</w:t>
      </w:r>
    </w:p>
    <w:p>
      <w:r>
        <w:t xml:space="preserve">(2) Im mündlichen Prüfungsteil findet ein Prüfungsgespräch mit einer Unterkommission, bestehend aus mindestens drei Kommissionsmitgliedern, statt. Das Prüfungsgespräch wird in Form einer Gruppenprüfung mit maximal drei Anwärterinnen beziehungsweise Anwärtern oder als Einzelprüfung absolviert. Pro Anwärterin oder Anwärter werden dabei mindestens 20 Minuten Prüfungsgespräch vorgesehen.</w:t>
      </w:r>
    </w:p>
    <w:p>
      <w:r>
        <w:t xml:space="preserve">(3) Die Unterkommission bewertet den mündlichen Prüfungsteil mit einer Note gemäß § 20 und teilt das Ergebnis der Anwärterin oder dem Anwärter im Anschluss an das Prüfungsgespräch mit.</w:t>
      </w:r>
    </w:p>
    <w:p>
      <w:r>
        <w:t xml:space="preserve">(4) Der mündliche Prüfungsteil ist bestanden, wenn dieser mindestens mit der Note 4 – ausreichend bewertet wurde.</w:t>
      </w:r>
    </w:p>
    <w:p>
      <w:r>
        <w:rPr>
          <w:color w:val="555555"/>
          <w:sz w:val="17"/>
        </w:rPr>
        <w:t xml:space="preserve">Zitiervorschlag: § 27 APOmD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