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APOmD (Brandenburg) — Einstellungsbehörden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Einstellungsbehörden im Sinne dieser Verordnung sind:</w:t>
      </w:r>
    </w:p>
    <w:p>
      <w:r>
        <w:t xml:space="preserve">für die Landesverwaltung das für Inneres zuständige Ministerium und</w:t>
      </w:r>
    </w:p>
    <w:p>
      <w:r>
        <w:t xml:space="preserve">im kommunalen Bereich</w:t>
      </w:r>
    </w:p>
    <w:p>
      <w:r>
        <w:t xml:space="preserve">die Gemeinden und Gemeindeverbände,</w:t>
      </w:r>
    </w:p>
    <w:p>
      <w:r>
        <w:t xml:space="preserve">der Kommunale Versorgungsverband Brandenburg sowie</w:t>
      </w:r>
    </w:p>
    <w:p>
      <w:r>
        <w:t xml:space="preserve">die kommunalen Anstalten des öffentlichen Rechts.</w:t>
      </w:r>
    </w:p>
    <w:p>
      <w:r>
        <w:rPr>
          <w:color w:val="555555"/>
          <w:sz w:val="17"/>
        </w:rPr>
        <w:t xml:space="preserve">Zitiervorschlag: § 2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