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APOmD (Brandenburg) — Wahlpflichtfächer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Einführungslehrgang haben die Anwärterinnen und Anwärter zur Erweiterung ihrer Sprachkenntnisse im Wahlpflichtmodul Sprachen aus mindestens zwei Sprachen eine Sprache zu wählen, die bis zum Abschluss der Ausbildung belegt wird.</w:t>
      </w:r>
    </w:p>
    <w:p>
      <w:r>
        <w:t xml:space="preserve">(2) Im Abschlusslehrgang haben die Anwärterinnen und Anwärter im Wahlpflichtmodul Recht aus mindestens drei Rechtsgebieten ein Rechtsgebiet zu wählen. Das Wahlpflichtmodul soll der Vertiefung bereits vorhandener und der Vermittlung neuer Kenntnisse dienen.</w:t>
      </w:r>
    </w:p>
    <w:p>
      <w:r>
        <w:t xml:space="preserve">(3) Die Wahlmöglichkeit der beiden Wahlpflichtmodule kann durch Vorgaben der jeweiligen Einstellungsbehörde beschränkt werden.</w:t>
      </w:r>
    </w:p>
    <w:p>
      <w:r>
        <w:rPr>
          <w:color w:val="555555"/>
          <w:sz w:val="17"/>
        </w:rPr>
        <w:t xml:space="preserve">Zitiervorschlag: § 14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