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APOmD (Brandenburg) — Grundsätze der fachtheoretischen Ausbildung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Lerninhalte der fachtheoretischen Ausbildungsabschnitte sind praxisbezogen sowie handlungs- und anwendungsorientiert auf dem aktuellen Stand des Fachs zu gestalten. Die Lehrveranstaltungen sollen aktuelle Bezüge zur Verwaltungspraxis im Land Brandenburg aufweisen.</w:t>
      </w:r>
    </w:p>
    <w:p>
      <w:r>
        <w:t xml:space="preserve">(2) Die fachtheoretische Ausbildung umfasst insgesamt mindestens 1 500 Lehrstunden, die auf die in § 11 Absatz 2 aufgeführten Ausbildungsabschnitte aufgeteilt werden.</w:t>
      </w:r>
    </w:p>
    <w:p>
      <w:r>
        <w:t xml:space="preserve">(3) Die inhaltliche Ausgestaltung der fachtheoretischen Ausbildung, insbesondere die Festlegung der Lehrmodule, deren Lerninhalte und deren Stundenzahl, wird in einem Rahmenplan geregelt.</w:t>
      </w:r>
    </w:p>
    <w:p>
      <w:r>
        <w:rPr>
          <w:color w:val="555555"/>
          <w:sz w:val="17"/>
        </w:rPr>
        <w:t xml:space="preserve">Zitiervorschlag: § 12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