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APOhDFeu (Brandenburg) — Dauer des Vorbereitungsdienstes</w:t>
      </w:r>
    </w:p>
    <w:p>
      <w:r>
        <w:rPr>
          <w:color w:val="555555"/>
          <w:sz w:val="18"/>
        </w:rPr>
        <w:t xml:space="preserve">Ausbildungs- und Prüfungsordnung höherer feuerwehrtechnischer Dienst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Soweit in § 6 Absatz 2 der Ausbildungsverordnung Feuerwehr für die Laufbahngruppe 2.2 auf die Regelungen der Verordnung über die Laufbahnen der Beamtinnen und Beamten des feuerwehrtechnischen Dienstes im Land Nordrhein-Westfalen verwiesen wird, finden diese Anwendung in der Fassung der vorgenannten Verordnung vom 15. März 2017, zuletzt geändert durch Artikel 1 der Verordnung vom 4. Juni 2021 (GV. NRW. S. 730).</w:t>
      </w:r>
    </w:p>
    <w:p>
      <w:r>
        <w:rPr>
          <w:color w:val="555555"/>
          <w:sz w:val="17"/>
        </w:rPr>
        <w:t xml:space="preserve">Zitiervorschlag: § 5 APOhDFeu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https://recht.nulegal.eu/gesetze/APOhDFeu/5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