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APOhDBerg (Brandenburg) — Geltungsbereich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Verordnung gilt für die Laufbahn des höheren Staatsdienstes im Bergfach des Landes Brandenburg.</w:t>
      </w:r>
    </w:p>
    <w:p>
      <w:r>
        <w:t xml:space="preserve">(2) Die in dieser Verordnung verwendeten Funktions-, Status- und anderen personenbezogenen Bezeichnungen gelten für Frauen und Männer.</w:t>
      </w:r>
    </w:p>
    <w:p>
      <w:r>
        <w:rPr>
          <w:color w:val="555555"/>
          <w:sz w:val="17"/>
        </w:rPr>
        <w:t xml:space="preserve">Zitiervorschlag: § 1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