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APOgtVwID (Brandenburg) — Ergebnis der Laufbahnprüfung</w:t>
      </w:r>
    </w:p>
    <w:p>
      <w:r>
        <w:rPr>
          <w:color w:val="555555"/>
          <w:sz w:val="18"/>
        </w:rPr>
        <w:t xml:space="preserve">Ausbildungs- und Prüfungsordnung gehobener technischer Verwaltungsinformatikdienst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Im Anschluss an das Kolloquium nach § 25 ist die Gesamtnote vom Prüfungsausschuss festzustellen. Bei der Gesamtnote werden das arithmetische Mittel der erzielten Leistungspunkte aller Modulprüfungen, der Bachelor-Arbeit und des Kolloquiums unter Berücksichtigung ihrer Art und ihres Schwierigkeitsgrades nach Maßgabe der Studien- und Prüfungsordnung und der Rahmenordnung der Technischen Hochschule Wildau bewertet. Bei der Gesamtnote wird eine zweite Dezimalstelle nicht berücksichtigt.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27 APOgtVwID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https://recht.nulegal.eu/gesetze/APOgtVwID/27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