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APOgtVwID (Brandenburg) — Aufgaben des Prüfungsausschusses</w:t>
      </w:r>
    </w:p>
    <w:p>
      <w:r>
        <w:rPr>
          <w:color w:val="555555"/>
          <w:sz w:val="18"/>
        </w:rPr>
        <w:t xml:space="preserve">Ausbildungs- und Prüfungsordnung gehobener technischer Verwaltungsinformatikdienst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Organisation und Durchführung des Prüfungsverfahrens im Studiengang „Verwaltungsinformatik Brandenburg“ obliegt dem Prüfungsausschuss des Fachbereichs der Technischen Hochschule Wildau, dem der Studiengang angegliedert ist. Vertreterinnen oder Vertreter des für Inneres zuständigen Ministeriums haben das Recht, an Sitzungen des Prüfungsausschusses, die den Studiengang „Verwaltungsinformatik Brandenburg“ betreffen, teilzunehmen; sie haben Rede- und Antragsrecht und sind über den Studiengang betreffende Beschlüsse des Prüfungsausschusses unverzüglich zu informieren. Erachten die Vertreterinnen oder Vertreter des für Inneres zuständigen Ministeriums die Beschlüsse des Prüfungsausschusses, die den Studiengang „Verwaltungsinformatik Brandenburg“ betreffen, für rechtswidrig, können sie diese beanstanden; die Beanstandung hat aufschiebende Wirkung.</w:t>
      </w:r>
    </w:p>
    <w:p>
      <w:r>
        <w:t xml:space="preserve">(2) Der Prüfungsausschuss bestellt die Prüferinnen und Prüfer. Zur Prüferin oder zum Prüfer kann bestellt werden, wer das betreffende Modul oder das Prüfungsfach hauptberuflich an der Hochschule lehrt oder mindestens die durch die Prüfung festzustellende oder eine gleichwertige Qualifikation besitzt. Professorinnen und Professoren können für alle Prüfungen ihres Fachgebiets zu Prüfenden bestellt werden. Akademische Mitarbeiterinnen und Mitarbeiter und Lehrbeauftragte können für den in ihren Studienveranstaltungen dargebotenen Lehrinhalt zu Prüfenden bestellt werden. Zu Prüfenden können auch Personen anderer Fachbereiche der Technischen Hochschule Wildau oder einer anderen Hochschule sowie fachlich geeignete Bedienstete der Landesverwaltung bestellt werden, sofern sie mindestens die durch die Prüfung festzustellende oder eine gleichwertige Qualifikation besitzen.</w:t>
      </w:r>
    </w:p>
    <w:p>
      <w:r>
        <w:t xml:space="preserve">(3) Die Mitglieder des Prüfungsausschusses sind zur Verschwiegenheit über alle Angelegenheiten des Prüfungsverfahrens verpflichtet.</w:t>
      </w:r>
    </w:p>
    <w:p>
      <w:r>
        <w:t xml:space="preserve">Einzelnorm</w:t>
      </w:r>
    </w:p>
    <w:p>
      <w:r>
        <w:rPr>
          <w:color w:val="555555"/>
          <w:sz w:val="17"/>
        </w:rPr>
        <w:t xml:space="preserve">Zitiervorschlag: § 22 APOgtVwID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https://recht.nulegal.eu/gesetze/APOgtVwID/22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