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APOgtVwID (Brandenburg) — Grundsätze der berufspraktischen Studienzeiten</w:t>
      </w:r>
    </w:p>
    <w:p>
      <w:r>
        <w:rPr>
          <w:color w:val="555555"/>
          <w:sz w:val="18"/>
        </w:rPr>
        <w:t xml:space="preserve">Ausbildungs- und Prüfungsordnung gehobener technischer Verwaltungsinformatikdienst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berufspraktischen Studienzeiten sollen berufliche Kenntnisse und Erfahrungen vermitteln. Die Studierenden sollen während der Praxisphasen die während des fachwissenschaftlichen Studiums erworbenen Kenntnisse vertiefen und insbesondere lernen, diese in der Praxis anzuwenden. Die praktischen Unterweisungen in den Ausbildungsstellen sollen systematisch und didaktisch effektiv auf die Inhalte des fachwissenschaftlichen Studiums abgestimmt sein.</w:t>
      </w:r>
    </w:p>
    <w:p>
      <w:r>
        <w:t xml:space="preserve">(2) Die Arbeitszeit während der berufspraktischen Studienzeit richtet sich nach der Arbeitszeitregelung der Ausbildungsstelle. Die Praxisabschnitte werden in Vollzeit absolviert.</w:t>
      </w:r>
    </w:p>
    <w:p>
      <w:r>
        <w:t xml:space="preserve">(3) § 15 Absatz 2 gilt für die berufspraktischen Studienzeiten entsprechend.</w:t>
      </w:r>
    </w:p>
    <w:p>
      <w:r>
        <w:t xml:space="preserve">Einzelnorm</w:t>
      </w:r>
    </w:p>
    <w:p>
      <w:r>
        <w:rPr>
          <w:color w:val="555555"/>
          <w:sz w:val="17"/>
        </w:rPr>
        <w:t xml:space="preserve">Zitiervorschlag: § 18 APOgtVwID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https://recht.nulegal.eu/gesetze/APOgtVwID/18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