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APOgtVwID (Brandenburg) — Ende des Beamtenverhältnisses</w:t>
      </w:r>
    </w:p>
    <w:p>
      <w:r>
        <w:rPr>
          <w:color w:val="555555"/>
          <w:sz w:val="18"/>
        </w:rPr>
        <w:t xml:space="preserve">Ausbildungs- und Prüfungsordnung gehobener technischer Verwaltungsinformatikdienst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Das Beamtenverhältnis auf Widerruf endet mit dem Ablauf des Tages, an dem</w:t>
      </w:r>
    </w:p>
    <w:p>
      <w:r>
        <w:t xml:space="preserve">das Bestehen oder</w:t>
      </w:r>
    </w:p>
    <w:p>
      <w:r>
        <w:t xml:space="preserve">das endgültige Nichtbestehen der Laufbahnprüfung gemäß § 26</w:t>
      </w:r>
    </w:p>
    <w:p>
      <w:r>
        <w:t xml:space="preserve">bekannt gegeben worden ist. Im Fall von Satz 1 Nummer 1 endet das Beamtenverhältnis jedoch frühestens nach Ablauf der für den Vorbereitungsdienst im Allgemeinen oder im Einzelfall festgesetzten Zeit.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10 APOgtVwID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https://recht.nulegal.eu/gesetze/APOgtVwID/10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