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APOghDASA (Brandenburg) — Bewertung der schriftlichen Prüfungsarbeiten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Aufsichtsarbeiten und die häuslichen Prüfungsarbeiten sind von zwei nach § 24 Absatz 3 zu bestimmenden Personen in einer von der dem Prüfungsausschuss vorsitzenden Person festzulegenden Reihenfolge zu beurteilen und nach § 19 Absatz 1 zu bewerten. Weichen die Bewertungen der prüfenden Personen voneinander ab, entscheidet die dem Prüfungsausschuss vorsitzende Person.</w:t>
      </w:r>
    </w:p>
    <w:p>
      <w:r>
        <w:t xml:space="preserve">(2) Alle Arbeiten einer Prüfung zu einem Thema sind von denselben prüfenden Personen zu bewerten.</w:t>
      </w:r>
    </w:p>
    <w:p>
      <w:r>
        <w:t xml:space="preserve">(3) Die bewerteten Arbeiten sind zur Prüfungsakte zu nehmen.</w:t>
      </w:r>
    </w:p>
    <w:p>
      <w:r>
        <w:rPr>
          <w:color w:val="555555"/>
          <w:sz w:val="17"/>
        </w:rPr>
        <w:t xml:space="preserve">Zitiervorschlag: § 28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