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APOghDASA (Brandenburg) — Lehrfächer, Hospitationen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 umfasst im Wesentlichen folgende Lehrfächer:</w:t>
      </w:r>
    </w:p>
    <w:p>
      <w:r>
        <w:t xml:space="preserve">Allgemeiner und betrieblicher Arbeitsschutz,</w:t>
      </w:r>
    </w:p>
    <w:p>
      <w:r>
        <w:t xml:space="preserve">Arbeitsstätten, Arbeitsplätze, Ergonomie,</w:t>
      </w:r>
    </w:p>
    <w:p>
      <w:r>
        <w:t xml:space="preserve">Physikalische Einwirkungen am Arbeitsplatz,</w:t>
      </w:r>
    </w:p>
    <w:p>
      <w:r>
        <w:t xml:space="preserve">Betriebssicherheit – technische Arbeitsmittel, überwachungsbedürftige Anlagen,</w:t>
      </w:r>
    </w:p>
    <w:p>
      <w:r>
        <w:t xml:space="preserve">Geräte- und Produktsicherheit,</w:t>
      </w:r>
    </w:p>
    <w:p>
      <w:r>
        <w:t xml:space="preserve">Strahlenschutz,</w:t>
      </w:r>
    </w:p>
    <w:p>
      <w:r>
        <w:t xml:space="preserve">Gefahrstoffe und explosionsgefährliche Stoffe,</w:t>
      </w:r>
    </w:p>
    <w:p>
      <w:r>
        <w:t xml:space="preserve">Sozialer Arbeitsschutz,</w:t>
      </w:r>
    </w:p>
    <w:p>
      <w:r>
        <w:t xml:space="preserve">Gesundheitsschutz und Arbeitsmedizin,</w:t>
      </w:r>
    </w:p>
    <w:p>
      <w:r>
        <w:t xml:space="preserve">Staats-, Beamten-, Verwaltungs- und Strafrecht, einschließlich der aufgabenbezogenen Regelungen des Gefahrenabwehr- und Ordnungswidrigkeitenrechts.</w:t>
      </w:r>
    </w:p>
    <w:p>
      <w:r>
        <w:t xml:space="preserve">(2) Die Hospitationen sollen vornehmlich bei</w:t>
      </w:r>
    </w:p>
    <w:p>
      <w:r>
        <w:t xml:space="preserve">einem Unfallversicherungsträger,</w:t>
      </w:r>
    </w:p>
    <w:p>
      <w:r>
        <w:t xml:space="preserve">einem Bauordnungsamt,</w:t>
      </w:r>
    </w:p>
    <w:p>
      <w:r>
        <w:t xml:space="preserve">einem Verwaltungsgericht,</w:t>
      </w:r>
    </w:p>
    <w:p>
      <w:r>
        <w:t xml:space="preserve">einem technischen Überwachungsverein oder</w:t>
      </w:r>
    </w:p>
    <w:p>
      <w:r>
        <w:t xml:space="preserve">einer Immissionsschutzbehörde</w:t>
      </w:r>
    </w:p>
    <w:p>
      <w:r>
        <w:t xml:space="preserve">erfolgen.</w:t>
      </w:r>
    </w:p>
    <w:p>
      <w:r>
        <w:rPr>
          <w:color w:val="555555"/>
          <w:sz w:val="17"/>
        </w:rPr>
        <w:t xml:space="preserve">Zitiervorschlag: § 16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