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APOgDFeu (Brandenburg) — Schriftliche Prüfung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schriftliche Prüfung besteht aus zwei Aufsichtsarbeiten zu je vier Zeitstunden. Die Aufsichtsarbeiten sollen 14 Wochen vor Ende der Laufbahnausbildung geschrieben werden.</w:t>
      </w:r>
    </w:p>
    <w:p>
      <w:r>
        <w:t xml:space="preserve">(2) Die Aufgaben in den Aufsichtsarbeiten sind insbesondere zu den Lehrinhalten</w:t>
      </w:r>
    </w:p>
    <w:p>
      <w:r>
        <w:t xml:space="preserve">Rechtsgrundlagen und Verwaltungskunde,</w:t>
      </w:r>
    </w:p>
    <w:p>
      <w:r>
        <w:t xml:space="preserve">Menschenführung,</w:t>
      </w:r>
    </w:p>
    <w:p>
      <w:r>
        <w:t xml:space="preserve">Fahrzeug- und Gerätekunde,</w:t>
      </w:r>
    </w:p>
    <w:p>
      <w:r>
        <w:t xml:space="preserve">Einsatz- und Führungslehre,</w:t>
      </w:r>
    </w:p>
    <w:p>
      <w:r>
        <w:t xml:space="preserve">vorbeugender Brandschutz und</w:t>
      </w:r>
    </w:p>
    <w:p>
      <w:r>
        <w:t xml:space="preserve">fachbezogene naturwissenschaftliche Grundlagen</w:t>
      </w:r>
    </w:p>
    <w:p>
      <w:r>
        <w:t xml:space="preserve">zu stellen und können auch Antwortwahlaufgaben (Multiple-Choice-Fragen) beinhalten.</w:t>
      </w:r>
    </w:p>
    <w:p>
      <w:r>
        <w:t xml:space="preserve">(3) Über die Aufgaben in den Aufsichtsarbeiten einschließlich der Hilfsmittel beschließt die Prüfungskommission.</w:t>
      </w:r>
    </w:p>
    <w:p>
      <w:r>
        <w:t xml:space="preserve">(4) Die Prüfungsbehörde bestimmt, ob die Aufsichtsarbeiten schriftlich oder elektronisch zu erstellen sind.</w:t>
      </w:r>
    </w:p>
    <w:p>
      <w:r>
        <w:rPr>
          <w:color w:val="555555"/>
          <w:sz w:val="17"/>
        </w:rPr>
        <w:t xml:space="preserve">Zitiervorschlag: § 28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