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APOgDFeu (Brandenburg) — Laufbahnbefähigung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Befähigung für den gehobenen feuerwehrtechnischen Dienst wird durch die Ableistung der Laufbahnausbildung und das Bestehen der Laufbahnprüfung erworben. § 7 Absatz 2 und § 27 Absatz 2 Satz 3 der Feuerwehrlaufbahnverordnung bleiben unberührt.</w:t>
      </w:r>
    </w:p>
    <w:p>
      <w:r>
        <w:t xml:space="preserve">(2) Ein Anspruch auf Beschäftigung im öffentlichen Dienst wird durch den Erwerb der Laufbahnbefähigung nicht begründet.</w:t>
      </w:r>
    </w:p>
    <w:p>
      <w:r>
        <w:rPr>
          <w:color w:val="555555"/>
          <w:sz w:val="17"/>
        </w:rPr>
        <w:t xml:space="preserve">Zitiervorschlag: § 2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