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APOaVD (Brandenburg) — Gesamtnote und Zeugniserteilung</w:t>
      </w:r>
    </w:p>
    <w:p>
      <w:r>
        <w:rPr>
          <w:color w:val="555555"/>
          <w:sz w:val="18"/>
        </w:rPr>
        <w:t xml:space="preserve">Ausbildungs- und Prüfungsordnung allgemeiner Vollzugsdienst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Nach bestandener schriftlicher und mündlicher Prüfung wird unter Einbeziehung der in den Ausbildungsabschnitten erzielten Leistungen eine Gesamtnote gebildet, die sich wie folgt zusammensetzt:</w:t>
      </w:r>
    </w:p>
    <w:p>
      <w:r>
        <w:t xml:space="preserve">1.</w:t>
      </w:r>
    </w:p>
    <w:p>
      <w:r>
        <w:t xml:space="preserve">Gesamtabschnittsnote</w:t>
      </w:r>
    </w:p>
    <w:p>
      <w:r>
        <w:t xml:space="preserve">(gebildet aus dem Durchschnitt der in den theoretischen und praktischen Ausbildungsabschnitten erzielten Punktzahlen)</w:t>
      </w:r>
    </w:p>
    <w:p>
      <w:r>
        <w:t xml:space="preserve">25 Prozent.</w:t>
      </w:r>
    </w:p>
    <w:p>
      <w:r>
        <w:t xml:space="preserve">2.</w:t>
      </w:r>
    </w:p>
    <w:p>
      <w:r>
        <w:t xml:space="preserve">Schriftliche Prüfung (§ 15)</w:t>
      </w:r>
    </w:p>
    <w:p>
      <w:r>
        <w:t xml:space="preserve">40 Prozent.</w:t>
      </w:r>
    </w:p>
    <w:p>
      <w:r>
        <w:t xml:space="preserve">3.</w:t>
      </w:r>
    </w:p>
    <w:p>
      <w:r>
        <w:t xml:space="preserve">Mündliche Prüfung (§ 16)</w:t>
      </w:r>
    </w:p>
    <w:p>
      <w:r>
        <w:t xml:space="preserve">20 Prozent.</w:t>
      </w:r>
    </w:p>
    <w:p>
      <w:r>
        <w:t xml:space="preserve">4.</w:t>
      </w:r>
    </w:p>
    <w:p>
      <w:r>
        <w:t xml:space="preserve">Berufspraktische Lernzielkontrolle (§ 8)</w:t>
      </w:r>
    </w:p>
    <w:p>
      <w:r>
        <w:t xml:space="preserve">15 Prozent.</w:t>
      </w:r>
    </w:p>
    <w:p>
      <w:r>
        <w:t xml:space="preserve">§ 9 Absatz 3 Satz 3 bis 5 gilt entsprechend.</w:t>
      </w:r>
    </w:p>
    <w:p>
      <w:r>
        <w:t xml:space="preserve">(2) Über das Ergebnis der Laufbahnprüfung ist ein schriftliches Zeugnis zu erteilen. Dabei ist die Bewertung der Laufbahnprüfung als „bestanden“ (mit „sehr gut“, „gut“, „befriedigend“, „ausreichend“) oder „nicht bestanden“ auszuweisen.</w:t>
      </w:r>
    </w:p>
    <w:p>
      <w:r>
        <w:t xml:space="preserve">(3) Das Beamtenverhältnis auf Widerruf der Anwärterinnen und Anwärter, die die Laufbahnprüfung bestehen oder endgültig nicht bestehen, endet mit dem Ablauf des Tages, an dem ihnen</w:t>
      </w:r>
    </w:p>
    <w:p>
      <w:r>
        <w:t xml:space="preserve">das Bestehen der Laufbahnprüfung oder</w:t>
      </w:r>
    </w:p>
    <w:p>
      <w:r>
        <w:t xml:space="preserve">das endgültige Nichtbestehen der Laufbahnprüfung oder einer vorgeschriebenen Zwischenprüfung</w:t>
      </w:r>
    </w:p>
    <w:p>
      <w:r>
        <w:t xml:space="preserve">bekannt gegeben worden ist. Im Fall von Satz 1 Nummer 1 endet das Beamtenverhältnis jedoch frühestens nach Ablauf der für den Vorbereitungsdienst im Allgemeinen oder im Einzelfall festgesetzten Zeit, § 32 Absatz 3 des Landesbeamtengesetzes.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17 APOaVD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https://recht.nulegal.eu/gesetze/APOaVD/17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