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APOWD (Nordrhein-Westfalen) — Vorzeitige Entlassung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Anwärterin oder der Anwärter ist regelmäßig zu entlassen, wenn die Anforderungen in körperlicher, geistiger oder charakterlicher Hinsicht nicht erfüllt werden oder ein sonstiger wichtiger Grund vorliegt.</w:t>
      </w:r>
    </w:p>
    <w:p>
      <w:r>
        <w:t xml:space="preserve">(2) Die Entscheidung trifft die Einstellungsbehörde.</w:t>
      </w:r>
    </w:p>
    <w:p>
      <w:r>
        <w:rPr>
          <w:color w:val="555555"/>
          <w:sz w:val="17"/>
        </w:rPr>
        <w:t xml:space="preserve">Zitiervorschlag: § 8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