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21 APOLmCh (Bayern) — Dritter Prüfungsabschnitt</w:t>
      </w:r>
    </w:p>
    <w:p>
      <w:r>
        <w:rPr>
          <w:color w:val="555555"/>
          <w:sz w:val="18"/>
        </w:rPr>
        <w:t xml:space="preserve">Verordnung über die Ausbildung und Prüfung der Staatlich geprüften Lebensmittelchemikerinnen und Lebensmittelchemiker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(1) Im Dritten Prüfungsabschnitt hat der Prüfling nachzuweisen, dass er über umfassende Kenntnisse in der amtlichen Überwachung von Erzeugnissen und Tabakerzeugnissen im Sinn des § 1 Abs. 1 Satz 1 Nr. 2 verfügt und in der Lage ist, die notwendigen Untersuchungen und Beurteilungen vorzunehmen.</w:t>
      </w:r>
    </w:p>
    <w:p>
      <w:r>
        <w:t xml:space="preserve">(2) Der Dritte Prüfungsabschnitt umfasst sechs Prüfungen, bestehend aus je drei Prüfplan- und drei Gutachtenerstellungen gemäß Anlage 4 Nrn. 1 und 2 sowie einer schriftlichen oder mündlichen Prüfung im Fach „Lebensmittelrecht und amtliche Überwachung von Erzeugnissen und Tabakerzeugnissen“ gemäß Anlage 4 Nr. 3.</w:t>
      </w:r>
    </w:p>
    <w:p>
      <w:r>
        <w:t xml:space="preserve">(3) Die Bearbeitungszeit beträgt je Gutachtenerstellung sechs Stunden, je Prüfplanerstellung vier Stunden.</w:t>
      </w:r>
    </w:p>
    <w:p>
      <w:r>
        <w:t xml:space="preserve">(4) Die Prüfung im Fach „Lebensmittelrecht und amtliche Überwachung von Erzeugnissen und Tabakerzeugnissen“ gemäß Anlage 4 Nr. 3 wird im zwölften Monat der berufspraktischen Ausbildung durchgeführt. Die Bearbeitungszeit beträgt im Fall einer schriftlichen Prüfung mindestens zwei Stunden, im Fall einer mündlichen Prüfung abweichend von § 11 Abs. 1 Satz 3 mindestens 45 Minuten.</w:t>
      </w:r>
    </w:p>
    <w:p>
      <w:r>
        <w:t xml:space="preserve">(5) Nach Erteilung des Ausweises gemäß § 18 Abs. 2 besteht das Recht, die Bezeichnung „Staatlich geprüfte Lebensmittelchemikerin“ bzw. „Staatlich geprüfter Lebensmittelchemiker“ zu führen.</w:t>
      </w:r>
    </w:p>
    <w:p>
      <w:r>
        <w:rPr>
          <w:color w:val="555555"/>
          <w:sz w:val="17"/>
        </w:rPr>
        <w:t xml:space="preserve">Zitiervorschlag: § 21 APOLmCh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https://recht.nulegal.eu/gesetze/APOLmCh/21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