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APOJWDBbg (Brandenburg) — Regelungen für Menschen mit Behinderungen</w:t>
      </w:r>
    </w:p>
    <w:p>
      <w:r>
        <w:rPr>
          <w:color w:val="555555"/>
          <w:sz w:val="18"/>
        </w:rPr>
        <w:t xml:space="preserve">Ausbildungs- und Prüfungsordnung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Menschen mit Behinderungen sind die Anforderungen des § 155 Absatz 2 des Neunten Buches Sozialgesetzbuch vom 23. Dezember 2016 ( BGBl. I S. 3234), das zuletzt durch Artikel 6 des Gesetzes vom 22. Dezember 2023 (BGBl. 2023 I Nr. 412) geändert worden ist, die Schwerbehindertenrichtlinie vom 16. März 2022 ( ABl. S. 326) sowie das Brandenburgische Behindertengleichstellungsgesetz vom 11. Februar 2013 (GVBl. I Nr. 5), das zuletzt durch Artikel 2 des Gesetzes vom 20. Juni 2024 (GVBl. I Nr. 25 S. 5) geändert worden ist, in der jeweils geltenden Fassung zu beachten.</w:t>
      </w:r>
    </w:p>
    <w:p>
      <w:r>
        <w:rPr>
          <w:color w:val="555555"/>
          <w:sz w:val="17"/>
        </w:rPr>
        <w:t xml:space="preserve">Zitiervorschlag: § 27 APOJWDBbg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https://recht.nulegal.eu/gesetze/APOJWDBbg/27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