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APOGV (Sachsen)</w:t>
      </w:r>
    </w:p>
    <w:p>
      <w:r>
        <w:rPr>
          <w:color w:val="555555"/>
          <w:sz w:val="18"/>
        </w:rPr>
        <w:t xml:space="preserve">Gerichtsvollzieherausbildungs-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18 Abs. 2 Satz 1 und 2 sowie § 20 Abs. 3 des Beamtengesetzes für den Freistaat Sachsen (Sächsisches Beamtengesetz – SächsBG) in der Fassung der Bekanntmachung vom 14. Juni 1999 (SächsGVBl. S. 370, 2000 S. 7), das zuletzt durch Artikel 25 des Gesetzes vom 5. Mai 2004 (SächsGVBl. S. 148) geändert worden ist, wird im Einvernehmen mit dem Staatsministerium des Innern und dem Staatsministerium der Finanzen verordnet:</w:t>
      </w:r>
    </w:p>
    <w:p>
      <w:r>
        <w:rPr>
          <w:color w:val="555555"/>
          <w:sz w:val="17"/>
        </w:rPr>
        <w:t xml:space="preserve">Zitiervorschlag: Eingangsformel APOGV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https://recht.nulegal.eu/gesetze/APOGV/eingangsformel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