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APOAA (Brandenburg) — Fachwissenschaftliches Studium</w:t>
      </w:r>
    </w:p>
    <w:p>
      <w:r>
        <w:rPr>
          <w:color w:val="555555"/>
          <w:sz w:val="18"/>
        </w:rPr>
        <w:t xml:space="preserve">Verordnung über die Ausbildung und Prüfung für die Laufbahn des Amtsanwaltsdienstes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fachwissenschaftliche Studium I und II, auf das die Bestimmungen über das fachwissenschaftliche Studium der Verordnung über die Ausbildung und Prüfung für die Laufbahn des Amtsanwaltsdienstes des Landes Nordrhein-Westfalen vom 6. November 2006 (GV. NRW. S. 520) in der jeweils geltenden Fassung anzuwenden sind, findet an der Fachhochschule für Rechtspflege Nordrhein-Westfalen statt.</w:t>
      </w:r>
    </w:p>
    <w:p>
      <w:r>
        <w:rPr>
          <w:color w:val="555555"/>
          <w:sz w:val="17"/>
        </w:rPr>
        <w:t xml:space="preserve">Zitiervorschlag: § 7 APOAA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https://recht.nulegal.eu/gesetze/APOAA/7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