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APOAA (Brandenburg) — Gliederung der Einführungszeit</w:t>
      </w:r>
    </w:p>
    <w:p>
      <w:r>
        <w:rPr>
          <w:color w:val="555555"/>
          <w:sz w:val="18"/>
        </w:rPr>
        <w:t xml:space="preserve">Verordnung über die Ausbildung und Prüfung für die Laufbahn des Amtsanwaltsdienstes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Einführungszeit gliedert sich wie folgt:</w:t>
      </w:r>
    </w:p>
    <w:p>
      <w:r>
        <w:t xml:space="preserve">erster Abschnitt (1. bis einschließlich 4. Monat):</w:t>
      </w:r>
    </w:p>
    <w:p>
      <w:r>
        <w:t xml:space="preserve">fachwissenschaftliches Studium I,</w:t>
      </w:r>
    </w:p>
    <w:p>
      <w:r>
        <w:t xml:space="preserve">zweiter Abschnitt (5. bis einschließlich 13. Monat):</w:t>
      </w:r>
    </w:p>
    <w:p>
      <w:r>
        <w:t xml:space="preserve">fachpraktische Ausbildung in den Geschäften des Amtsanwaltsdienstes bei einer Staatsanwaltschaft,</w:t>
      </w:r>
    </w:p>
    <w:p>
      <w:r>
        <w:t xml:space="preserve">dritter Abschnitt (14. und 15. Monat):</w:t>
      </w:r>
    </w:p>
    <w:p>
      <w:r>
        <w:t xml:space="preserve">fachwissenschaftliches Studium II.</w:t>
      </w:r>
    </w:p>
    <w:p>
      <w:r>
        <w:rPr>
          <w:color w:val="555555"/>
          <w:sz w:val="17"/>
        </w:rPr>
        <w:t xml:space="preserve">Zitiervorschlag: § 6 APOAA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https://recht.nulegal.eu/gesetze/APOAA/6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