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APO (Bayern) — Aufgaben des Prüfungsausschusses und des Prüfungsamts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oder die Vorsitzende des Prüfungsausschusses hat</w:t>
      </w:r>
    </w:p>
    <w:p>
      <w:r>
        <w:t xml:space="preserve">1. die Prüfungen vorzubereiten, insbesondere die Prüfungstermine festzusetzen und die Vorschläge für Klausuren und Bachelorarbeiten einzuholen,</w:t>
      </w:r>
    </w:p>
    <w:p>
      <w:r>
        <w:t xml:space="preserve">2. für die vertrauliche Behandlung der eingeholten Klausurvorschläge zu sorgen,</w:t>
      </w:r>
    </w:p>
    <w:p>
      <w:r>
        <w:t xml:space="preserve">3. über die Zulassung zur Prüfung zu entscheiden,</w:t>
      </w:r>
    </w:p>
    <w:p>
      <w:r>
        <w:t xml:space="preserve">4. über den Ausschluss von der Teilnahme an Prüfungsleistungen zu entscheiden (§ 50 Abs. 1),</w:t>
      </w:r>
    </w:p>
    <w:p>
      <w:r>
        <w:t xml:space="preserve">5. Klausuren durch Aufsichtspersonen zu überwachen,</w:t>
      </w:r>
    </w:p>
    <w:p>
      <w:r>
        <w:t xml:space="preserve">6. aus den gemäß Abs. 2 Nr. 3 bestimmten Prüfern und Prüferinnen Prüfungskommissionen für die mündlichen Prüfungen und das Kolloquium zusammenzustellen sowie jeweils den Vorsitzenden oder die Vorsitzende zu bestimmen,</w:t>
      </w:r>
    </w:p>
    <w:p>
      <w:r>
        <w:t xml:space="preserve">7. die Platzziffern der Prüfungsteilnehmer und Prüfungsteilnehmerinnen festzustellen, das Abschlusszeugnis und das Diploma Supplement auszustellen und den Abdruck der Ergebnisliste der Geschäftsstelle des Landespersonalausschusses zu übersenden und</w:t>
      </w:r>
    </w:p>
    <w:p>
      <w:r>
        <w:t xml:space="preserve">8. alle übrigen Entscheidungen zu treffen, die nicht anderen Prüfungsorganen übertragen sind.</w:t>
      </w:r>
    </w:p>
    <w:p>
      <w:r>
        <w:t xml:space="preserve">(2) Der Prüfungsausschuss hat</w:t>
      </w:r>
    </w:p>
    <w:p>
      <w:r>
        <w:t xml:space="preserve">1. aus den eingeholten Vorschlägen die zu bearbeitenden Klausuren und die zu ihrer Bearbeitung zugelassenen Hilfsmittel festzusetzen,</w:t>
      </w:r>
    </w:p>
    <w:p>
      <w:r>
        <w:t xml:space="preserve">2. auf Vorschlag einer hauptamtlichen Lehrperson der Hochschule für den öffentlichen Dienst in Bayern die Themen für die zu bearbeitenden Bachelorarbeiten festzusetzen,</w:t>
      </w:r>
    </w:p>
    <w:p>
      <w:r>
        <w:t xml:space="preserve">3. die Prüfer und Prüferinnen für die Modulprüfungen und die Bachelorarbeit und, soweit erforderlich, für den Stichentscheid (§ 43 Abs. 1 Satz 4, § 44 Abs. 4 Satz 3) zu bestimmen,</w:t>
      </w:r>
    </w:p>
    <w:p>
      <w:r>
        <w:t xml:space="preserve">4. über die Anträge auf Nachteilsausgleich im Rahmen des § 54 zu entscheiden,</w:t>
      </w:r>
    </w:p>
    <w:p>
      <w:r>
        <w:t xml:space="preserve">5. über das Vorliegen und die Folgen des Unterschleifs, des Beeinflussungsversuchs und des Ordnungsverstoßes (§ 53) zu entscheiden,</w:t>
      </w:r>
    </w:p>
    <w:p>
      <w:r>
        <w:t xml:space="preserve">6. das Fernbleiben oder den Rücktritt zu genehmigen und über das Vorliegen und die Folgen eines genehmigten oder nicht genehmigten Fernbleibens oder Rücktritts (§ 51) zu entscheiden,</w:t>
      </w:r>
    </w:p>
    <w:p>
      <w:r>
        <w:t xml:space="preserve">7. über das Vorliegen und die Folgen der nicht rechtzeitigen Ablieferung einer Klausur (§ 42 Abs. 1 Nr. 1) zu entscheiden,</w:t>
      </w:r>
    </w:p>
    <w:p>
      <w:r>
        <w:t xml:space="preserve">8. bei der nachträglichen Geltendmachung von Mängeln im Prüfungsverfahren die erforderlichen Maßnahmen auf Antrag oder von Amts wegen zu treffen (§ 52) und</w:t>
      </w:r>
    </w:p>
    <w:p>
      <w:r>
        <w:t xml:space="preserve">9. über Rechtsbehelfe im Zusammenhang mit der Prüfung zu entscheiden.</w:t>
      </w:r>
    </w:p>
    <w:p>
      <w:r>
        <w:t xml:space="preserve">(3) Soweit ein Prüfungsamt eingerichtet wird (§ 9), können diesem die unter Abs. 1 Nr. 1 bis 4 sowie unter Abs. 2 Nr. 2 bis 7 bezeichneten Aufgaben übertragen werden.</w:t>
      </w:r>
    </w:p>
    <w:p>
      <w:r>
        <w:t xml:space="preserve">(4) § 14 gilt entsprechend.</w:t>
      </w:r>
    </w:p>
    <w:p>
      <w:r>
        <w:rPr>
          <w:color w:val="555555"/>
          <w:sz w:val="17"/>
        </w:rPr>
        <w:t xml:space="preserve">Zitiervorschlag: § 41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