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APO (Bayern) — Praktische Prüfung und Hausarbeiten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Vorschriften über die mündliche Prüfung finden sinngemäß auf die praktische Prüfung Anwendung, wenn die Einzelprüfungsbestimmungen nichts anderes bestimmen.</w:t>
      </w:r>
    </w:p>
    <w:p>
      <w:r>
        <w:t xml:space="preserve">(2) Für die Bewertung der Hausarbeiten gilt § 21 sinngemäß.</w:t>
      </w:r>
    </w:p>
    <w:p>
      <w:r>
        <w:rPr>
          <w:color w:val="555555"/>
          <w:sz w:val="17"/>
        </w:rPr>
        <w:t xml:space="preserve">Zitiervorschlag: § 26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