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APO (Bayern) — Nichtbestehen der schriftlichen oder digitalen Prüfung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in der schriftlichen oder digitalen Prüfung im Durchschnitt schlechter als „ausreichend“ gearbeitet hat, ist von der mündlichen Prüfung ausgeschlossen. Er oder sie hat die Prüfung nicht bestanden.</w:t>
      </w:r>
    </w:p>
    <w:p>
      <w:r>
        <w:t xml:space="preserve">(2) Die Einzelprüfungsbestimmungen können von Abs. 1 abweichen, wenn die Prüfung aus drei Prüfungsabschnitten besteht oder wenn die mündliche Prüfung unmittelbar im Anschluß an die schriftliche oder digitale Prüfung abgenommen werden muß.</w:t>
      </w:r>
    </w:p>
    <w:p>
      <w:r>
        <w:t xml:space="preserve">(3) Die Einzelprüfungsbestimmungen können nach den Erfordernissen der angestrebten Fachlaufbahn und eines gebildeten fachlichen Schwerpunkts über die in Abs. 1 enthaltene Regelung hinaus bestimmen, daß ungenügende Leistungen in einer Prüfungsaufgabe von besonderer Bedeutung oder mangelhafte Leistungen in mehreren Prüfungsaufgaben die in Abs. 1 genannten Folgen nach sich ziehen.</w:t>
      </w:r>
    </w:p>
    <w:p>
      <w:r>
        <w:rPr>
          <w:color w:val="555555"/>
          <w:sz w:val="17"/>
        </w:rPr>
        <w:t xml:space="preserve">Zitiervorschlag: § 22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