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APO (Bayern) — Ausgestaltung der Prüfungsaufgaben</w:t>
      </w:r>
    </w:p>
    <w:p>
      <w:r>
        <w:rPr>
          <w:color w:val="555555"/>
          <w:sz w:val="18"/>
        </w:rPr>
        <w:t xml:space="preserve">Allgemeine 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Prüfungsausschuß hat bei der Auswahl der Prüfungsaufgaben von der Zweckbestimmung der Prüfung auszugehen. Er kann die Aufgabenentwürfe ändern und gegebenenfalls neue Entwürfe anfordern.</w:t>
      </w:r>
    </w:p>
    <w:p>
      <w:r>
        <w:t xml:space="preserve">(2) Ein Teil der Prüfungsaufgaben kann so ausgestaltet sein, daß ihre Bearbeitung etwa die doppelte Arbeitszeit einer Normalaufgabe erfordert (Doppelaufgabe).</w:t>
      </w:r>
    </w:p>
    <w:p>
      <w:r>
        <w:rPr>
          <w:color w:val="555555"/>
          <w:sz w:val="17"/>
        </w:rPr>
        <w:t xml:space="preserve">Zitiervorschlag: § 16 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