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APO-WbK (Nordrhein-Westfalen) — Überschreiten der Höchstverweildauer</w:t>
      </w:r>
    </w:p>
    <w:p>
      <w:r>
        <w:rPr>
          <w:color w:val="555555"/>
          <w:sz w:val="18"/>
        </w:rPr>
        <w:t xml:space="preserve">Ausbildungs- und Prüfungsordnung Weiterbildungskolleg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Studierende im Bildungsgang der Abendrealschule, die nach Maßgabe der §§ 4, 7 und 30 den angestrebten Abschluss der Sekundarstufe I nicht mehr erwerben können, müssen den Bildungsgang verlassen. Die Feststellung trifft die Schulleiterin oder der Schulleiter.</w:t>
      </w:r>
    </w:p>
    <w:p>
      <w:r>
        <w:t xml:space="preserve">(2) Können Studierende in den Bildungsgängen von Abendgymnasium und Kolleg innerhalb der Höchstverweildauer (§ 4 Abs. 3) nicht mehr die Abiturprüfung ablegen oder den schulischen Teil der Fachhochschulreife erwerben, müssen sie die Schule verlassen. Die Feststellung trifft die Schulleiterin oder der Schulleiter.</w:t>
      </w:r>
    </w:p>
    <w:p>
      <w:r>
        <w:t xml:space="preserve">(3) Die Schulleiterin oder der Schulleiter kann in Ausnahmefällen, insbesondere bei längerem Unterrichtsversäumnis infolge nicht von den Studierenden zu vertretender Umstände, die Höchstverweildauer angemessen verlängern.</w:t>
      </w:r>
    </w:p>
    <w:p>
      <w:r>
        <w:t xml:space="preserve">(4) Die Studierenden können die Höchstverweildauer (§ 4 Abs. 2 und 3) um die Zeit überschreiten, die erforderlich ist, um eine Wiederholungsprüfung (§§ 28 und 59) abzulegen.</w:t>
      </w:r>
    </w:p>
    <w:p>
      <w:r>
        <w:t xml:space="preserve">(5) Treten Studierende in ein höheres Semester ein, verkürzt sich die Verweildauer um die Zahl der übersprungenen Semester.</w:t>
      </w:r>
    </w:p>
    <w:p>
      <w:r>
        <w:t xml:space="preserve">(6) Die Schulleiterin oder der Schulleiter kann eine Studierende oder einen Studierenden auf Antrag für längstens zwei Semester beurlauben ( § 43 Abs. 3 SchulG). Die Zeit der Beurlaubung wird auf die Höchstverweildauer nicht angerechnet.</w:t>
      </w:r>
    </w:p>
    <w:p>
      <w:r>
        <w:rPr>
          <w:color w:val="555555"/>
          <w:sz w:val="17"/>
        </w:rPr>
        <w:t xml:space="preserve">Zitiervorschlag: § 9 APO-WbK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https://recht.nulegal.eu/gesetze/APO-WbK/9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