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APO-WbK (Nordrhein-Westfalen) — Beurteilung der schriftlichen Arbeiten</w:t>
      </w:r>
    </w:p>
    <w:p>
      <w:r>
        <w:rPr>
          <w:color w:val="555555"/>
          <w:sz w:val="18"/>
        </w:rPr>
        <w:t xml:space="preserve">Ausbildungs- und Prüfungsordnung Weiterbildungskolleg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schriftliche Prüfungsarbeit wird von der Fachlehrkraft, die im letzten Semester unterrichtet hat, in einem vorgegebenen kriteriengeleiteten Beurteilungsverfahren (§ 51 Abs. 3) korrigiert. Einer aus der Summe der erbrachten Teilleistungen ermittelten Punktsumme wird eine Note, gegebenenfalls mit Tendenz, zugeordnet.</w:t>
      </w:r>
    </w:p>
    <w:p>
      <w:r>
        <w:t xml:space="preserve">(2) Jede Arbeit wird von einer zweiten von der oder dem Vorsitzenden des Zentralen Abiturausschusses beauftragten Fachlehrkraft korrigiert und bewertet. Sofern die Bewertungen der Fachlehrkräfte voneinander abweichen, wird die abschließende Note wie folgt ermittelt:</w:t>
      </w:r>
    </w:p>
    <w:p>
      <w:r>
        <w:t xml:space="preserve">1. Bei einer Abweichung bis zu drei Notenpunkten (§ 43 Abs. 1) aus dem arithmetischen Mittel der den jeweiligen Notenurteilen zugrunde liegenden Punktsummen (Absatz 2),</w:t>
      </w:r>
    </w:p>
    <w:p>
      <w:r>
        <w:t xml:space="preserve">2. bei Abweichungen um vier Notenpunkte und mehr durch Entscheidung einer dritten, von der oder dem Vorsitzenden des Zentralen Abiturausschusses beauftragten Fachlehrkraft innerhalb der Bandbreite der vorherigen Bewertungen.</w:t>
      </w:r>
    </w:p>
    <w:p>
      <w:r>
        <w:t xml:space="preserve">(3) Gehäufte Verstöße gegen die sprachliche Richtigkeit in der deutschen Sprache und gegen die äußere Form führen gemäß § 17 Abs. 5 zu einer Absenkung um bis zu zwei Notenpunkte. Sofern die Bewertungen der Fachlehrkräfte voneinander abweichen, ergibt sich die abschließende Note aus dem arithmetischen Mittel der Notenurteile. Es wird mathematisch gerundet. Im Fall von Absatz 2 Nr. 2 entscheidet die dritte beauftragte Lehrkraft.</w:t>
      </w:r>
    </w:p>
    <w:p>
      <w:r>
        <w:rPr>
          <w:color w:val="555555"/>
          <w:sz w:val="17"/>
        </w:rPr>
        <w:t xml:space="preserve">Zitiervorschlag: § 52 APO-WbK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https://recht.nulegal.eu/gesetze/APO-WbK/52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