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APO-S I (Nordrhein-Westfalen) — Schülerinnen und Schüler mit einer Behinderung, Gemeinsames Lernen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es die Behinderung oder der Bedarf an sonderpädagogischer Unterstützung einer Schülerin oder eines Schülers erfordert, kann von einzelnen Bestimmungen dieser Verordnung abgewichen werden.</w:t>
      </w:r>
    </w:p>
    <w:p>
      <w:r>
        <w:t xml:space="preserve">(2) Ist an einer Schule Gemeinsames Lernen gemäß § 20 Absatz 5 Schulgesetz NRW eingerichtet, gelten für die Aufnahme von Schülerinnen und Schülern mit festgestelltem Bedarf an sonderpädagogischer Unterstützung § 1 Absatz 4 dieser Verordnung und § 16 der Ausbildungsordnung sonderpädagogische Förderung (AO-SF) in der jeweils geltenden Fassung. Für die sonderpädagogische Förderung gilt die AO-SF insgesamt.</w:t>
      </w:r>
    </w:p>
    <w:p>
      <w:r>
        <w:rPr>
          <w:color w:val="555555"/>
          <w:sz w:val="17"/>
        </w:rPr>
        <w:t xml:space="preserve">Zitiervorschlag: § 9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