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APO-S I (Nordrhein-Westfalen) — Allgemeine Versetzungsanforderungen</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Schülerin oder ein Schüler wird versetzt, wenn</w:t>
      </w:r>
    </w:p>
    <w:p>
      <w:r>
        <w:t xml:space="preserve">1. die Leistungen in allen Fächern und Lernbereichen ausreichend oder besser sind oder</w:t>
      </w:r>
    </w:p>
    <w:p>
      <w:r>
        <w:t xml:space="preserve">2. nicht ausreichende Leistungen gemäß §§ 25 bis 29 ausgeglichen werden können oder unberücksichtigt bleiben.</w:t>
      </w:r>
    </w:p>
    <w:p>
      <w:r>
        <w:t xml:space="preserve">(2) Die Entscheidung der Versetzungskonferenz beruht auf den Leistungen der Schülerin oder des Schülers im zweiten Schulhalbjahr. Die Gesamtentwicklung während des ganzen Schuljahres und die Zeugnisnote im ersten Schulhalbjahr sind zu berücksichtigen.</w:t>
      </w:r>
    </w:p>
    <w:p>
      <w:r>
        <w:t xml:space="preserve">(3) Eine Schülerin oder ein Schüler kann auch dann versetzt werden, wenn die Versetzungsanforderungen aus besonderen Gründen nicht erfüllt werden konnten, jedoch erwartet werden kann, dass auf Grund der Leistungsfähigkeit, der Gesamtentwicklung und der Förderungsmöglichkeiten der Schule in der nachfolgenden Klasse eine erfolgreiche Mitarbeit möglich ist. Eine Versetzung nach Satz 1 ist ausgeschlossen, wenn damit die Vergabe eines Abschlusses oder einer Berechtigung verbunden ist.</w:t>
      </w:r>
    </w:p>
    <w:p>
      <w:r>
        <w:t xml:space="preserve">(4) Die in einem Schuljahr im Wechsel für ein Schulhalbjahr unterrichteten Fächer eines Lernbereichs (Halbjahresunterricht) sind als versetzungswirksam anzukündigen.</w:t>
      </w:r>
    </w:p>
    <w:p>
      <w:r>
        <w:t xml:space="preserve">(5) Leistungen in Arbeitsgemeinschaften sind nicht versetzungswirksam.</w:t>
      </w:r>
    </w:p>
    <w:p>
      <w:r>
        <w:rPr>
          <w:color w:val="555555"/>
          <w:sz w:val="17"/>
        </w:rPr>
        <w:t xml:space="preserve">Zitiervorschlag: § 22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