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APO-BK (Nordrhein-Westfalen) — Besondere Bestimmungen für die einzelnen Bildungsgänge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Ergänzend zu den Vorschriften des ersten Teils gelten die besonderen Vorschriften der</w:t>
      </w:r>
    </w:p>
    <w:p>
      <w:r>
        <w:t xml:space="preserve">Anlage A für die Bildungsgänge der Berufsschule,</w:t>
      </w:r>
    </w:p>
    <w:p>
      <w:r>
        <w:t xml:space="preserve">Anlage B für Bildungsgänge, die zu einem Berufsabschluss nach Landesrecht und zum Mittleren Schulabschluss (Fachoberschulreife) oder zu beruflichen Kenntnissen, Fähigkeiten und Fertigkeiten und zum mittleren Schulabschluss (Fachoberschulreife) führen,</w:t>
      </w:r>
    </w:p>
    <w:p>
      <w:r>
        <w:t xml:space="preserve">Anlage C für die Bildungsgänge, die zu einem Berufsabschluss nach Landesrecht und zur Fachhochschulreife oder zu beruflichen Kenntnissen und zur Fachhochschulreife führen,</w:t>
      </w:r>
    </w:p>
    <w:p>
      <w:r>
        <w:t xml:space="preserve">Anlage D für Bildungsgänge des Beruflichen Gymnasiums und der Fachoberschule, Klasse 13,</w:t>
      </w:r>
    </w:p>
    <w:p>
      <w:r>
        <w:t xml:space="preserve">Anlage E für die Bildungsgänge der Fachschule.</w:t>
      </w:r>
    </w:p>
    <w:p>
      <w:r>
        <w:rPr>
          <w:color w:val="555555"/>
          <w:sz w:val="17"/>
        </w:rPr>
        <w:t xml:space="preserve">Zitiervorschlag: § 29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