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APO-BK (Nordrhein-Westfalen) — Versetzung, Leistungsanforderungen</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in den besonderen Bestimmungen des Zweiten Teils (Anlagen A bis E) nichts anderes bestimmt ist, werden Schülerinnen oder Schüler nach Ablauf eines Schuljahres in die folgende Klasse oder Jahrgangsstufe versetzt, wenn sie die Leistungsanforderungen gemäß Absatz 2 erfüllen. Das Versetzungsverfahren richtet sich nach § 50 SchulG. Die Versetzungskonferenz ist beschlussfähig, wenn mindestens zwei Drittel ihrer Mitglieder anwesend sind. Beschlüsse werden mit der Mehrheit der abgegebenen Stimmen gefasst. Stimmenthaltung ist nicht zulässig. Bei Stimmengleichheit gibt die Stimme der oder des Vorsitzenden den Ausschlag. Über die Versetzungskonferenz ist ein Protokoll zu führen. Die Fachlehrerin oder der Fachlehrer entscheidet über die Note in ihrem oder seinem Fach und begründet diese auf Verlangen in der Versetzungskonferenz. Die Gesamtentwicklung der Schülerin oder des Schülers während des ganzen Schuljahres und die Zeugnisnote im ersten Schulhalbjahr sind von der Fachlehrerin oder dem Fachlehrer zu berücksichtigen. Die Note kann durch Konferenzbeschluss nicht abgeändert werden; die schulaufsichtliche Überprüfung bleibt unberührt.</w:t>
      </w:r>
    </w:p>
    <w:p>
      <w:r>
        <w:t xml:space="preserve">(2) Soweit nichts Abweichendes bestimmt ist, sind die Leistungsanforderungen einer Klasse oder Jahrgangsstufe erfüllt, wenn die Leistungen am Ende der besuchten Klasse oder Jahrgangsstufe in allen Fächern mindestens "ausreichend" oder nur in einem Fach "mangelhaft" sind.</w:t>
      </w:r>
    </w:p>
    <w:p>
      <w:r>
        <w:t xml:space="preserve">(3) Die Versetzungskonferenz kann im Einzelfall bei der Versetzungsentscheidung von der festgelegten Regel abweichen, wenn Minderleistungen auf besondere nicht von der Schülerin oder dem Schüler zu vertretende Umstände, zum Beispiel längere Krankheit, zurückzuführen sind und erwartet werden kann, dass auf Grund der Leistungsfähigkeit und der Gesamtentwicklung eine erfolgreiche Mitarbeit in der nächsthöheren Klasse möglich ist.</w:t>
      </w:r>
    </w:p>
    <w:p>
      <w:r>
        <w:t xml:space="preserve">(4) Das Berufskolleg informiert die Eltern gemäß § 50 Abs. 4 SchulG in der Regel zehn Wochen vor der Zeugnisausgabe, wenn die Versetzung durch bis zu diesem Zeitpunkt erkennbare Leistungsschwächen gefährdet ist.</w:t>
      </w:r>
    </w:p>
    <w:p>
      <w:r>
        <w:rPr>
          <w:color w:val="555555"/>
          <w:sz w:val="17"/>
        </w:rPr>
        <w:t xml:space="preserve">Zitiervorschlag: § 10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