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APMAG — Meldepflichten</w:t>
      </w:r>
    </w:p>
    <w:p>
      <w:r>
        <w:rPr>
          <w:color w:val="555555"/>
          <w:sz w:val="18"/>
        </w:rPr>
        <w:t xml:space="preserve">Ausführungsgesetz zum Verbotsübereinkommen für Antipersonenminen</w:t>
      </w:r>
    </w:p>
    <w:p>
      <w:r>
        <w:rPr>
          <w:color w:val="555555"/>
          <w:sz w:val="18"/>
        </w:rPr>
        <w:t xml:space="preserve">Stand: 10.04.2026 (konsolidierte Textfassung, kein amtliches Inkrafttretensdatum)</w:t>
      </w:r>
    </w:p>
    <w:p>
      <w:r>
        <w:t xml:space="preserve">Die Bundesregierung regelt durch Rechtsverordnung mit Zustimmung des Bundesrates Meldepflichten, soweit dies zur Erfüllung der Verpflichtungen aus Artikel 7 des Übereinkommens erforderlich ist.</w:t>
      </w:r>
    </w:p>
    <w:p>
      <w:r>
        <w:rPr>
          <w:color w:val="555555"/>
          <w:sz w:val="17"/>
        </w:rPr>
        <w:t xml:space="preserve">Zitiervorschlag: § 7 APMAG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https://recht.nulegal.eu/gesetze/APMAG/7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