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APMAG — Haftung</w:t>
      </w:r>
    </w:p>
    <w:p>
      <w:r>
        <w:rPr>
          <w:color w:val="555555"/>
          <w:sz w:val="18"/>
        </w:rPr>
        <w:t xml:space="preserve">Ausführungsgesetz zum Verbotsübereinkommen für Antipersonenminen</w:t>
      </w:r>
    </w:p>
    <w:p>
      <w:r>
        <w:rPr>
          <w:color w:val="555555"/>
          <w:sz w:val="18"/>
        </w:rPr>
        <w:t xml:space="preserve">Stand: 10.04.2026 (konsolidierte Textfassung, kein amtliches Inkrafttretensdatum)</w:t>
      </w:r>
    </w:p>
    <w:p>
      <w:r>
        <w:t xml:space="preserve">(1) Wird jemand durch ein Mitglied der Mission geschädigt, haftet für diesen Schaden die Bundesrepublik Deutschland nach den Vorschriften und Grundsätzen des deutschen Rechts, die anwendbar wären, wenn der Schaden durch einen eigenen Bediensteten oder durch eine Handlung oder Unterlassung, für die die Bundesrepublik Deutschland verantwortlich ist, verursacht worden wäre. Satz 1 ist auf Schäden, die von einem Mitglied der Mission außerhalb der Ermittlungstätigkeit verursacht werden, sinngemäß anzuwenden.</w:t>
      </w:r>
    </w:p>
    <w:p>
      <w:r>
        <w:t xml:space="preserve">(2) Ansprüche nach Absatz 1 sind in den Fällen des § 2 Abs. 1 Satz 2 erste Alternative bei den regional zuständigen Wehrbereichsverwaltungen, im übrigen beim Bundesamt für Wirtschaft und Ausfuhrkontrolle (BAFA) geltend zu machen. Zur Durchsetzung der Ansprüche ist der ordentliche Rechtsweg gegeben.</w:t>
      </w:r>
    </w:p>
    <w:p>
      <w:r>
        <w:rPr>
          <w:color w:val="555555"/>
          <w:sz w:val="17"/>
        </w:rPr>
        <w:t xml:space="preserve">Zitiervorschlag: § 6 APMAG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